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34C888" w14:textId="285043C6" w:rsidR="00E07F10" w:rsidRDefault="00E07F10" w:rsidP="00E07F10">
      <w:pPr>
        <w:pStyle w:val="CH"/>
      </w:pPr>
      <w:bookmarkStart w:id="0" w:name="historyclause"/>
      <w:r w:rsidRPr="00711632">
        <w:t xml:space="preserve">3GPP RAN </w:t>
      </w:r>
      <w:r>
        <w:t>WG4</w:t>
      </w:r>
      <w:r w:rsidRPr="00711632">
        <w:t xml:space="preserve"> Meeting #</w:t>
      </w:r>
      <w:r>
        <w:t>99-e</w:t>
      </w:r>
      <w:r>
        <w:tab/>
      </w:r>
      <w:r>
        <w:tab/>
      </w:r>
      <w:r w:rsidRPr="00F23BFE">
        <w:t>R4-21</w:t>
      </w:r>
      <w:r w:rsidR="00F23BFE">
        <w:t>09327</w:t>
      </w:r>
    </w:p>
    <w:p w14:paraId="59FDF514" w14:textId="77777777" w:rsidR="00E07F10" w:rsidRPr="00FD166F" w:rsidRDefault="00E07F10" w:rsidP="00E07F10">
      <w:pPr>
        <w:pStyle w:val="CH"/>
        <w:tabs>
          <w:tab w:val="clear" w:pos="7920"/>
        </w:tabs>
        <w:rPr>
          <w:b w:val="0"/>
        </w:rPr>
      </w:pPr>
      <w:r w:rsidRPr="005F384A">
        <w:t xml:space="preserve">Electronic meeting, </w:t>
      </w:r>
      <w:r>
        <w:t xml:space="preserve">19 – 27 </w:t>
      </w:r>
      <w:proofErr w:type="gramStart"/>
      <w:r>
        <w:t>May,</w:t>
      </w:r>
      <w:proofErr w:type="gramEnd"/>
      <w:r w:rsidRPr="005F384A">
        <w:t xml:space="preserve"> 2021</w:t>
      </w:r>
      <w:r>
        <w:tab/>
      </w:r>
    </w:p>
    <w:p w14:paraId="7EAFDAC7" w14:textId="77777777" w:rsidR="00E07F10" w:rsidRDefault="00E07F10" w:rsidP="00E07F10">
      <w:pPr>
        <w:tabs>
          <w:tab w:val="left" w:pos="2160"/>
        </w:tabs>
        <w:rPr>
          <w:rFonts w:ascii="Arial" w:hAnsi="Arial" w:cs="Arial"/>
          <w:b/>
        </w:rPr>
      </w:pPr>
    </w:p>
    <w:p w14:paraId="3B68EE51" w14:textId="03A3AD53" w:rsidR="00E07F10" w:rsidRPr="0008103A" w:rsidRDefault="00E07F10" w:rsidP="00E07F10">
      <w:pPr>
        <w:pStyle w:val="CH"/>
        <w:rPr>
          <w:b w:val="0"/>
        </w:rPr>
      </w:pPr>
      <w:r w:rsidRPr="0008103A">
        <w:t>Agenda item:</w:t>
      </w:r>
      <w:r>
        <w:tab/>
      </w:r>
      <w:r w:rsidR="00D11305">
        <w:t>9.12.1.3</w:t>
      </w:r>
    </w:p>
    <w:p w14:paraId="438B742A" w14:textId="5AEC787E" w:rsidR="00E07F10" w:rsidRPr="0008103A" w:rsidRDefault="00E07F10" w:rsidP="00E07F10">
      <w:pPr>
        <w:pStyle w:val="CH"/>
        <w:rPr>
          <w:b w:val="0"/>
        </w:rPr>
      </w:pPr>
      <w:r>
        <w:t>Source:</w:t>
      </w:r>
      <w:r>
        <w:tab/>
      </w:r>
      <w:r w:rsidR="00D11305">
        <w:t>Globalstar</w:t>
      </w:r>
    </w:p>
    <w:p w14:paraId="57F447D2" w14:textId="77777777" w:rsidR="00E07F10" w:rsidRDefault="00E07F10" w:rsidP="00E07F10">
      <w:pPr>
        <w:pStyle w:val="CH"/>
        <w:ind w:left="2268" w:hanging="2268"/>
      </w:pPr>
      <w:r w:rsidRPr="0008103A">
        <w:t>Title:</w:t>
      </w:r>
      <w:r w:rsidRPr="0008103A">
        <w:tab/>
      </w:r>
      <w:r>
        <w:t xml:space="preserve">Band plan and regulatory requirements related to </w:t>
      </w:r>
      <w:r w:rsidRPr="00776C2E">
        <w:t>L-</w:t>
      </w:r>
      <w:r>
        <w:t>band UL</w:t>
      </w:r>
      <w:r w:rsidRPr="00776C2E">
        <w:t xml:space="preserve"> and S-band </w:t>
      </w:r>
      <w:r>
        <w:t>DL operation</w:t>
      </w:r>
    </w:p>
    <w:p w14:paraId="517437F4" w14:textId="77777777" w:rsidR="00E07F10" w:rsidRDefault="00E07F10" w:rsidP="00E07F10">
      <w:pPr>
        <w:pStyle w:val="CH"/>
      </w:pPr>
      <w:r>
        <w:t>WI/SI:</w:t>
      </w:r>
      <w:r>
        <w:tab/>
      </w:r>
      <w:r w:rsidRPr="00D12340">
        <w:t>NR_NTN_solutions</w:t>
      </w:r>
    </w:p>
    <w:p w14:paraId="72935E5C" w14:textId="77777777" w:rsidR="00E07F10" w:rsidRDefault="00E07F10" w:rsidP="00E07F10">
      <w:pPr>
        <w:pStyle w:val="CH"/>
      </w:pPr>
      <w:r>
        <w:t>Release:</w:t>
      </w:r>
      <w:r>
        <w:tab/>
        <w:t>Rel-17</w:t>
      </w:r>
    </w:p>
    <w:p w14:paraId="1A97DDA5" w14:textId="77777777" w:rsidR="00E07F10" w:rsidRDefault="00E07F10" w:rsidP="00E07F10">
      <w:pPr>
        <w:pStyle w:val="CH"/>
      </w:pPr>
      <w:r>
        <w:t>Document for:</w:t>
      </w:r>
      <w:r>
        <w:tab/>
        <w:t>Approval</w:t>
      </w:r>
    </w:p>
    <w:p w14:paraId="4F1EBDE9" w14:textId="77777777" w:rsidR="00E07F10" w:rsidRPr="0008103A" w:rsidRDefault="00E07F10" w:rsidP="00E07F10">
      <w:pPr>
        <w:pStyle w:val="CH"/>
        <w:rPr>
          <w:b w:val="0"/>
        </w:rPr>
      </w:pPr>
    </w:p>
    <w:p w14:paraId="69686B9C" w14:textId="77777777" w:rsidR="00E07F10" w:rsidRPr="004D3578" w:rsidRDefault="00E07F10" w:rsidP="00E07F10">
      <w:pPr>
        <w:pStyle w:val="Heading1"/>
      </w:pPr>
      <w:r>
        <w:t>1</w:t>
      </w:r>
      <w:r>
        <w:tab/>
      </w:r>
      <w:r w:rsidRPr="004D3578">
        <w:t>Introduction</w:t>
      </w:r>
      <w:r>
        <w:t xml:space="preserve"> </w:t>
      </w:r>
    </w:p>
    <w:p w14:paraId="65F522F3" w14:textId="77777777" w:rsidR="00E07F10" w:rsidRDefault="00E07F10" w:rsidP="00E07F10">
      <w:r>
        <w:t xml:space="preserve">After the RAN#86 meeting, a new WI was approved that aims at supporting 5G/NR radio access technology for non-terrestrial satellite deployments </w:t>
      </w:r>
      <w:r>
        <w:fldChar w:fldCharType="begin"/>
      </w:r>
      <w:r>
        <w:instrText xml:space="preserve"> REF _Ref13820109 \r \h </w:instrText>
      </w:r>
      <w:r>
        <w:fldChar w:fldCharType="separate"/>
      </w:r>
      <w:r>
        <w:t>[1]</w:t>
      </w:r>
      <w:r>
        <w:fldChar w:fldCharType="end"/>
      </w:r>
      <w:r>
        <w:t xml:space="preserve">. One of the WI objectives, which has been discussed by RAN WG4 for several meetings, is to define and introduce the corresponding bands into the 3GPP specifications. One of the most controversial issues is that while some of the satellite bands fall into the existing 3GPP FR1 frequency range, there are other bands that either do not fall into any existing range or partially overlap with them </w:t>
      </w:r>
      <w:r>
        <w:fldChar w:fldCharType="begin"/>
      </w:r>
      <w:r>
        <w:instrText xml:space="preserve"> REF _Ref67165788 \r \h </w:instrText>
      </w:r>
      <w:r>
        <w:fldChar w:fldCharType="separate"/>
      </w:r>
      <w:r>
        <w:t>[2]</w:t>
      </w:r>
      <w:r>
        <w:fldChar w:fldCharType="end"/>
      </w:r>
      <w:r>
        <w:t>-</w:t>
      </w:r>
      <w:r>
        <w:fldChar w:fldCharType="begin"/>
      </w:r>
      <w:r>
        <w:instrText xml:space="preserve"> REF _Ref67165795 \r \h </w:instrText>
      </w:r>
      <w:r>
        <w:fldChar w:fldCharType="separate"/>
      </w:r>
      <w:r>
        <w:t>[8]</w:t>
      </w:r>
      <w:r>
        <w:fldChar w:fldCharType="end"/>
      </w:r>
      <w:r>
        <w:t xml:space="preserve">. This issue was also discussed during the last RAN4#98 meeting, during which it was concluded that the existing NTN WI will aim at introducing support for so-called L- and S-bands in Rel-17. </w:t>
      </w:r>
    </w:p>
    <w:p w14:paraId="084AB7F8" w14:textId="77777777" w:rsidR="00E07F10" w:rsidRDefault="00E07F10" w:rsidP="00E07F10">
      <w:r>
        <w:t xml:space="preserve">During the RAN4 #98bis meeting, the following agreement relevant to the NTN band plan was achieved </w:t>
      </w:r>
      <w:r>
        <w:fldChar w:fldCharType="begin"/>
      </w:r>
      <w:r>
        <w:instrText xml:space="preserve"> REF _Ref70001827 \r \h </w:instrText>
      </w:r>
      <w:r>
        <w:fldChar w:fldCharType="separate"/>
      </w:r>
      <w:r>
        <w:t>[9]</w:t>
      </w:r>
      <w:r>
        <w:fldChar w:fldCharType="end"/>
      </w:r>
      <w:r>
        <w:t>:</w:t>
      </w:r>
    </w:p>
    <w:tbl>
      <w:tblPr>
        <w:tblStyle w:val="TableGrid"/>
        <w:tblW w:w="0" w:type="auto"/>
        <w:tblLook w:val="04A0" w:firstRow="1" w:lastRow="0" w:firstColumn="1" w:lastColumn="0" w:noHBand="0" w:noVBand="1"/>
      </w:tblPr>
      <w:tblGrid>
        <w:gridCol w:w="9631"/>
      </w:tblGrid>
      <w:tr w:rsidR="00E07F10" w14:paraId="544F1111" w14:textId="77777777" w:rsidTr="00766718">
        <w:tc>
          <w:tcPr>
            <w:tcW w:w="9631" w:type="dxa"/>
          </w:tcPr>
          <w:p w14:paraId="358069F4" w14:textId="77777777" w:rsidR="00E07F10" w:rsidRDefault="00E07F10" w:rsidP="00766718">
            <w:r>
              <w:t>Topic #3</w:t>
            </w:r>
          </w:p>
          <w:p w14:paraId="1A6D8CB6" w14:textId="77777777" w:rsidR="00E07F10" w:rsidRPr="00CF7D4B" w:rsidRDefault="00E07F10" w:rsidP="00766718">
            <w:pPr>
              <w:pStyle w:val="B1"/>
            </w:pPr>
            <w:r>
              <w:t>-</w:t>
            </w:r>
            <w:r>
              <w:tab/>
            </w:r>
            <w:r w:rsidRPr="00CF7D4B">
              <w:t xml:space="preserve">For NTN S-band, RAN4 shall consider 5, 10, 15, 20, 25, 30 MHz channel BW configurations. </w:t>
            </w:r>
          </w:p>
          <w:p w14:paraId="77BBD823" w14:textId="77777777" w:rsidR="00E07F10" w:rsidRPr="00CF7D4B" w:rsidRDefault="00E07F10" w:rsidP="00766718">
            <w:pPr>
              <w:pStyle w:val="B2"/>
            </w:pPr>
            <w:r>
              <w:t>-</w:t>
            </w:r>
            <w:r>
              <w:tab/>
            </w:r>
            <w:r w:rsidRPr="00CF7D4B">
              <w:t>Note1: This current agreement may evolve depending on operator requests.</w:t>
            </w:r>
          </w:p>
          <w:p w14:paraId="7C5FB57D" w14:textId="77777777" w:rsidR="00E07F10" w:rsidRPr="00CF7D4B" w:rsidRDefault="00E07F10" w:rsidP="00766718">
            <w:pPr>
              <w:pStyle w:val="B2"/>
            </w:pPr>
            <w:r>
              <w:t>-</w:t>
            </w:r>
            <w:r>
              <w:tab/>
            </w:r>
            <w:r w:rsidRPr="00CF7D4B">
              <w:t>Note2: This current agreement considers the possible band configuration for S-band (and can be different from the one used for the coexistence, which might be a subset).</w:t>
            </w:r>
          </w:p>
          <w:p w14:paraId="7EC2897F" w14:textId="77777777" w:rsidR="00E07F10" w:rsidRPr="00CF7D4B" w:rsidRDefault="00E07F10" w:rsidP="00766718">
            <w:pPr>
              <w:pStyle w:val="B1"/>
            </w:pPr>
            <w:r>
              <w:t>-</w:t>
            </w:r>
            <w:r>
              <w:tab/>
            </w:r>
            <w:r w:rsidRPr="00CF7D4B">
              <w:t>For NTN S-band, RAN4 shall at least consider 1 DL spectrum + 1 UL spectrum in the range (1980 - 2010 MHz) and (2170 - 2200 MHz).</w:t>
            </w:r>
          </w:p>
          <w:p w14:paraId="0821CE8B" w14:textId="77777777" w:rsidR="00E07F10" w:rsidRPr="00CF7D4B" w:rsidRDefault="00E07F10" w:rsidP="00766718">
            <w:pPr>
              <w:pStyle w:val="B1"/>
            </w:pPr>
            <w:r>
              <w:t>-</w:t>
            </w:r>
            <w:r>
              <w:tab/>
            </w:r>
            <w:r w:rsidRPr="00CF7D4B">
              <w:t>RAN4 shall continue discussion on NTN channel raster for S-Band, and L-band.</w:t>
            </w:r>
          </w:p>
          <w:p w14:paraId="13FD5249" w14:textId="77777777" w:rsidR="00E07F10" w:rsidRPr="00CF7D4B" w:rsidRDefault="00E07F10" w:rsidP="00766718">
            <w:pPr>
              <w:pStyle w:val="B2"/>
            </w:pPr>
            <w:r>
              <w:t>-</w:t>
            </w:r>
            <w:r>
              <w:tab/>
            </w:r>
            <w:r w:rsidRPr="00CF7D4B">
              <w:t>Option 1: 15 kHz</w:t>
            </w:r>
          </w:p>
          <w:p w14:paraId="784A7F4D" w14:textId="77777777" w:rsidR="00E07F10" w:rsidRPr="00CF7D4B" w:rsidRDefault="00E07F10" w:rsidP="00766718">
            <w:pPr>
              <w:pStyle w:val="B2"/>
            </w:pPr>
            <w:r w:rsidRPr="00CF7D4B">
              <w:t>-</w:t>
            </w:r>
            <w:r w:rsidRPr="00CF7D4B">
              <w:tab/>
              <w:t>Option 2:  100 kHz</w:t>
            </w:r>
          </w:p>
          <w:p w14:paraId="5D02A36F" w14:textId="77777777" w:rsidR="00E07F10" w:rsidRPr="00CF7D4B" w:rsidRDefault="00E07F10" w:rsidP="00766718">
            <w:pPr>
              <w:pStyle w:val="B2"/>
            </w:pPr>
            <w:r w:rsidRPr="00CF7D4B">
              <w:t>-</w:t>
            </w:r>
            <w:r w:rsidRPr="00CF7D4B">
              <w:tab/>
              <w:t>Other options not precluded</w:t>
            </w:r>
          </w:p>
          <w:p w14:paraId="4944B9E8" w14:textId="77777777" w:rsidR="00E07F10" w:rsidRPr="00CF7D4B" w:rsidRDefault="00E07F10" w:rsidP="00766718">
            <w:pPr>
              <w:pStyle w:val="B2"/>
            </w:pPr>
            <w:r>
              <w:t>-</w:t>
            </w:r>
            <w:r>
              <w:tab/>
            </w:r>
            <w:r w:rsidRPr="00CF7D4B">
              <w:t xml:space="preserve">NTN operators’ input </w:t>
            </w:r>
            <w:proofErr w:type="gramStart"/>
            <w:r w:rsidRPr="00CF7D4B">
              <w:t>are</w:t>
            </w:r>
            <w:proofErr w:type="gramEnd"/>
            <w:r w:rsidRPr="00CF7D4B">
              <w:t xml:space="preserve"> encouraged for channel arrangements </w:t>
            </w:r>
          </w:p>
          <w:p w14:paraId="6C9CD84A" w14:textId="77777777" w:rsidR="00E07F10" w:rsidRPr="00CF7D4B" w:rsidRDefault="00E07F10" w:rsidP="00766718">
            <w:pPr>
              <w:pStyle w:val="B1"/>
            </w:pPr>
            <w:r>
              <w:t>-</w:t>
            </w:r>
            <w:r>
              <w:tab/>
            </w:r>
            <w:r w:rsidRPr="00CF7D4B">
              <w:t xml:space="preserve">RAN4 shall continue discussion to clarify L-band frequency range for NTN operation. </w:t>
            </w:r>
          </w:p>
          <w:p w14:paraId="58227502" w14:textId="77777777" w:rsidR="00E07F10" w:rsidRPr="00CF7D4B" w:rsidRDefault="00E07F10" w:rsidP="00766718">
            <w:pPr>
              <w:pStyle w:val="B2"/>
            </w:pPr>
            <w:r>
              <w:t>-</w:t>
            </w:r>
            <w:r>
              <w:tab/>
            </w:r>
            <w:r w:rsidRPr="00CF7D4B">
              <w:t>List candidate options if any.</w:t>
            </w:r>
          </w:p>
          <w:p w14:paraId="3CEFBDBF" w14:textId="77777777" w:rsidR="00E07F10" w:rsidRDefault="00E07F10" w:rsidP="00766718">
            <w:pPr>
              <w:pStyle w:val="B1"/>
            </w:pPr>
            <w:r>
              <w:t>-</w:t>
            </w:r>
            <w:r>
              <w:tab/>
            </w:r>
            <w:r w:rsidRPr="00CF7D4B">
              <w:t>RAN4 shall consider inputs from NTN operators for the NTN-NTN coexistence scenarios for MSS S-band.</w:t>
            </w:r>
          </w:p>
        </w:tc>
      </w:tr>
    </w:tbl>
    <w:p w14:paraId="784E9A5B" w14:textId="77777777" w:rsidR="00E07F10" w:rsidRDefault="00E07F10" w:rsidP="00E07F10"/>
    <w:p w14:paraId="7A848573" w14:textId="77777777" w:rsidR="00E07F10" w:rsidRDefault="00E07F10" w:rsidP="00E07F10">
      <w:r>
        <w:t>As was commented during the RAN4 #98bis meeting’s GTW session, other frequency ranges in the S-band are of interest to satellite operators. Furthermore, UL/DL spectrum pairings between the L-band and S-band frequency ranges, respectively, are in use by satellite providers today. This contribution proposes an additional band plan to be added to the RAN4 NTN work plan and provides the relevant regulatory background.</w:t>
      </w:r>
    </w:p>
    <w:p w14:paraId="4900784D" w14:textId="77777777" w:rsidR="00E07F10" w:rsidRDefault="00E07F10" w:rsidP="00E07F10">
      <w:pPr>
        <w:pStyle w:val="Heading1"/>
      </w:pPr>
      <w:r>
        <w:lastRenderedPageBreak/>
        <w:t>2</w:t>
      </w:r>
      <w:r>
        <w:tab/>
        <w:t>Discussion</w:t>
      </w:r>
    </w:p>
    <w:p w14:paraId="3213EEA0" w14:textId="77777777" w:rsidR="00E07F10" w:rsidRDefault="00E07F10" w:rsidP="00E07F10">
      <w:pPr>
        <w:pStyle w:val="Heading2"/>
      </w:pPr>
      <w:r>
        <w:t>2.1</w:t>
      </w:r>
      <w:r>
        <w:tab/>
        <w:t xml:space="preserve">Band plan </w:t>
      </w:r>
    </w:p>
    <w:p w14:paraId="41B642FF" w14:textId="77777777" w:rsidR="00E07F10" w:rsidRDefault="00E07F10" w:rsidP="00E07F10">
      <w:proofErr w:type="gramStart"/>
      <w:r>
        <w:t>In an effort to</w:t>
      </w:r>
      <w:proofErr w:type="gramEnd"/>
      <w:r>
        <w:t xml:space="preserve"> provide context to the NTN band plan discussion, Table 1 below provides an overview of global frequency allocations for mobile satellite service (MSS) and regulatory related parameters, such as frequency ranges, direction and ITU regions based on the ITU regulation </w:t>
      </w:r>
      <w:r>
        <w:fldChar w:fldCharType="begin"/>
      </w:r>
      <w:r>
        <w:instrText xml:space="preserve"> REF _Ref71090107 \r \h </w:instrText>
      </w:r>
      <w:r>
        <w:fldChar w:fldCharType="separate"/>
      </w:r>
      <w:r>
        <w:t>[10]</w:t>
      </w:r>
      <w:r>
        <w:fldChar w:fldCharType="end"/>
      </w:r>
      <w:r>
        <w:t>. For the sake of convenience, we also present the total bandwidth for contiguous satellite frequency ranges.</w:t>
      </w:r>
    </w:p>
    <w:p w14:paraId="0835066F" w14:textId="77777777" w:rsidR="00E07F10" w:rsidRDefault="00E07F10" w:rsidP="00E07F10">
      <w:pPr>
        <w:pStyle w:val="TF"/>
      </w:pPr>
      <w:r>
        <w:t>Table 1: Regulatory parameters of the L-band and S-band</w:t>
      </w:r>
    </w:p>
    <w:tbl>
      <w:tblPr>
        <w:tblW w:w="0" w:type="auto"/>
        <w:jc w:val="center"/>
        <w:tblCellMar>
          <w:left w:w="0" w:type="dxa"/>
          <w:right w:w="0" w:type="dxa"/>
        </w:tblCellMar>
        <w:tblLook w:val="04A0" w:firstRow="1" w:lastRow="0" w:firstColumn="1" w:lastColumn="0" w:noHBand="0" w:noVBand="1"/>
      </w:tblPr>
      <w:tblGrid>
        <w:gridCol w:w="851"/>
        <w:gridCol w:w="1701"/>
        <w:gridCol w:w="1701"/>
        <w:gridCol w:w="1276"/>
        <w:gridCol w:w="850"/>
      </w:tblGrid>
      <w:tr w:rsidR="00E07F10" w:rsidRPr="00804854" w14:paraId="47D1F606" w14:textId="77777777" w:rsidTr="00766718">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54482F9" w14:textId="77777777" w:rsidR="00E07F10" w:rsidRPr="00804854" w:rsidRDefault="00E07F10" w:rsidP="00766718">
            <w:pPr>
              <w:spacing w:after="0"/>
              <w:rPr>
                <w:sz w:val="24"/>
                <w:szCs w:val="24"/>
                <w:lang w:eastAsia="ko-KR"/>
              </w:rPr>
            </w:pPr>
            <w:r w:rsidRPr="00804854">
              <w:rPr>
                <w:rFonts w:ascii="Helvetica Neue" w:hAnsi="Helvetica Neue"/>
                <w:b/>
                <w:bCs/>
                <w:color w:val="000000"/>
                <w:sz w:val="15"/>
                <w:szCs w:val="15"/>
                <w:lang w:eastAsia="ko-KR"/>
              </w:rPr>
              <w:t>Band</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0618291" w14:textId="77777777" w:rsidR="00E07F10" w:rsidRPr="00804854" w:rsidRDefault="00E07F10" w:rsidP="00766718">
            <w:pPr>
              <w:spacing w:after="0"/>
              <w:rPr>
                <w:sz w:val="24"/>
                <w:szCs w:val="24"/>
                <w:lang w:eastAsia="ko-KR"/>
              </w:rPr>
            </w:pPr>
            <w:r w:rsidRPr="00804854">
              <w:rPr>
                <w:rFonts w:ascii="Helvetica Neue" w:hAnsi="Helvetica Neue"/>
                <w:b/>
                <w:bCs/>
                <w:color w:val="000000"/>
                <w:sz w:val="15"/>
                <w:szCs w:val="15"/>
                <w:lang w:eastAsia="ko-KR"/>
              </w:rPr>
              <w:t>Frequencies (MHz)</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DAD51C" w14:textId="77777777" w:rsidR="00E07F10" w:rsidRPr="00804854" w:rsidRDefault="00E07F10" w:rsidP="00766718">
            <w:pPr>
              <w:spacing w:after="0"/>
              <w:rPr>
                <w:sz w:val="24"/>
                <w:szCs w:val="24"/>
                <w:lang w:eastAsia="ko-KR"/>
              </w:rPr>
            </w:pPr>
            <w:r w:rsidRPr="00804854">
              <w:rPr>
                <w:rFonts w:ascii="Helvetica Neue" w:hAnsi="Helvetica Neue"/>
                <w:b/>
                <w:bCs/>
                <w:color w:val="000000"/>
                <w:sz w:val="15"/>
                <w:szCs w:val="15"/>
                <w:lang w:eastAsia="ko-KR"/>
              </w:rPr>
              <w:t>Direction</w:t>
            </w:r>
          </w:p>
        </w:tc>
        <w:tc>
          <w:tcPr>
            <w:tcW w:w="127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12E643F" w14:textId="77777777" w:rsidR="00E07F10" w:rsidRPr="00804854" w:rsidRDefault="00E07F10" w:rsidP="00766718">
            <w:pPr>
              <w:spacing w:after="0"/>
              <w:rPr>
                <w:sz w:val="24"/>
                <w:szCs w:val="24"/>
                <w:lang w:eastAsia="ko-KR"/>
              </w:rPr>
            </w:pPr>
            <w:r>
              <w:rPr>
                <w:rFonts w:ascii="Helvetica Neue" w:hAnsi="Helvetica Neue"/>
                <w:b/>
                <w:bCs/>
                <w:color w:val="000000"/>
                <w:sz w:val="15"/>
                <w:szCs w:val="15"/>
                <w:lang w:val="en-US" w:eastAsia="ko-KR"/>
              </w:rPr>
              <w:t>Total BW</w:t>
            </w:r>
            <w:r w:rsidRPr="00804854">
              <w:rPr>
                <w:rFonts w:ascii="Helvetica Neue" w:hAnsi="Helvetica Neue"/>
                <w:b/>
                <w:bCs/>
                <w:color w:val="000000"/>
                <w:sz w:val="15"/>
                <w:szCs w:val="15"/>
                <w:lang w:eastAsia="ko-KR"/>
              </w:rPr>
              <w:t xml:space="preserve"> (MHz)</w:t>
            </w:r>
          </w:p>
        </w:tc>
        <w:tc>
          <w:tcPr>
            <w:tcW w:w="8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BC88CE5" w14:textId="77777777" w:rsidR="00E07F10" w:rsidRPr="00804854" w:rsidRDefault="00E07F10" w:rsidP="00766718">
            <w:pPr>
              <w:spacing w:after="0"/>
              <w:rPr>
                <w:sz w:val="24"/>
                <w:szCs w:val="24"/>
                <w:lang w:eastAsia="ko-KR"/>
              </w:rPr>
            </w:pPr>
            <w:r w:rsidRPr="00804854">
              <w:rPr>
                <w:rFonts w:ascii="Helvetica Neue" w:hAnsi="Helvetica Neue"/>
                <w:b/>
                <w:bCs/>
                <w:color w:val="000000"/>
                <w:sz w:val="15"/>
                <w:szCs w:val="15"/>
                <w:lang w:eastAsia="ko-KR"/>
              </w:rPr>
              <w:t>Regions</w:t>
            </w:r>
          </w:p>
        </w:tc>
      </w:tr>
      <w:tr w:rsidR="00E07F10" w:rsidRPr="00804854" w14:paraId="38CDD4F7" w14:textId="77777777" w:rsidTr="00766718">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D80CEF" w14:textId="77777777" w:rsidR="00E07F10" w:rsidRPr="00804854" w:rsidRDefault="00E07F10" w:rsidP="00766718">
            <w:pPr>
              <w:spacing w:after="0"/>
              <w:rPr>
                <w:sz w:val="24"/>
                <w:szCs w:val="24"/>
                <w:lang w:eastAsia="ko-KR"/>
              </w:rPr>
            </w:pPr>
            <w:r w:rsidRPr="00804854">
              <w:rPr>
                <w:rFonts w:ascii="Helvetica Neue" w:hAnsi="Helvetica Neue"/>
                <w:b/>
                <w:bCs/>
                <w:color w:val="000000"/>
                <w:sz w:val="15"/>
                <w:szCs w:val="15"/>
                <w:lang w:eastAsia="ko-KR"/>
              </w:rPr>
              <w:t>L-band</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7514F9"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1518-1559</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280BB"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014B79"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41MHz (DL)</w:t>
            </w:r>
          </w:p>
        </w:tc>
        <w:tc>
          <w:tcPr>
            <w:tcW w:w="850"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B903A6"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1, 2, 3</w:t>
            </w:r>
          </w:p>
        </w:tc>
      </w:tr>
      <w:tr w:rsidR="00E07F10" w:rsidRPr="00804854" w14:paraId="1B35E3BE"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4B6FE384"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1E782C5A"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1610-1613.8</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034A33AB"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50ACD8B9" w14:textId="77777777" w:rsidR="00E07F10" w:rsidRPr="00804854" w:rsidRDefault="00E07F10" w:rsidP="00766718">
            <w:pPr>
              <w:spacing w:after="0"/>
              <w:rPr>
                <w:sz w:val="24"/>
                <w:szCs w:val="24"/>
                <w:lang w:eastAsia="ko-KR"/>
              </w:rPr>
            </w:pPr>
            <w:r>
              <w:rPr>
                <w:rFonts w:ascii="Helvetica Neue" w:hAnsi="Helvetica Neue"/>
                <w:color w:val="000000"/>
                <w:sz w:val="15"/>
                <w:szCs w:val="15"/>
                <w:lang w:eastAsia="ko-KR"/>
              </w:rPr>
              <w:t>3</w:t>
            </w:r>
            <w:r w:rsidRPr="00804854">
              <w:rPr>
                <w:rFonts w:ascii="Helvetica Neue" w:hAnsi="Helvetica Neue"/>
                <w:color w:val="000000"/>
                <w:sz w:val="15"/>
                <w:szCs w:val="15"/>
                <w:lang w:eastAsia="ko-KR"/>
              </w:rPr>
              <w:t>.</w:t>
            </w:r>
            <w:r>
              <w:rPr>
                <w:rFonts w:ascii="Helvetica Neue" w:hAnsi="Helvetica Neue"/>
                <w:color w:val="000000"/>
                <w:sz w:val="15"/>
                <w:szCs w:val="15"/>
                <w:lang w:eastAsia="ko-KR"/>
              </w:rPr>
              <w:t>8</w:t>
            </w:r>
            <w:r w:rsidRPr="00804854">
              <w:rPr>
                <w:rFonts w:ascii="Helvetica Neue" w:hAnsi="Helvetica Neue"/>
                <w:color w:val="000000"/>
                <w:sz w:val="15"/>
                <w:szCs w:val="15"/>
                <w:lang w:eastAsia="ko-KR"/>
              </w:rPr>
              <w:t>MHz (UL)</w:t>
            </w:r>
          </w:p>
        </w:tc>
        <w:tc>
          <w:tcPr>
            <w:tcW w:w="850" w:type="dxa"/>
            <w:vMerge/>
            <w:tcBorders>
              <w:top w:val="single" w:sz="6" w:space="0" w:color="000000"/>
              <w:left w:val="single" w:sz="6" w:space="0" w:color="000000"/>
              <w:bottom w:val="single" w:sz="6" w:space="0" w:color="000000"/>
              <w:right w:val="single" w:sz="6" w:space="0" w:color="000000"/>
            </w:tcBorders>
            <w:vAlign w:val="center"/>
            <w:hideMark/>
          </w:tcPr>
          <w:p w14:paraId="1203147E" w14:textId="77777777" w:rsidR="00E07F10" w:rsidRPr="00804854" w:rsidRDefault="00E07F10" w:rsidP="00766718">
            <w:pPr>
              <w:spacing w:after="0"/>
              <w:rPr>
                <w:sz w:val="24"/>
                <w:szCs w:val="24"/>
                <w:lang w:eastAsia="ko-KR"/>
              </w:rPr>
            </w:pPr>
          </w:p>
        </w:tc>
      </w:tr>
      <w:tr w:rsidR="00E07F10" w:rsidRPr="00804854" w14:paraId="26992843" w14:textId="77777777" w:rsidTr="00766718">
        <w:trPr>
          <w:trHeight w:val="445"/>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7D6EABD0"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C248D2"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1613.8-16</w:t>
            </w:r>
            <w:r>
              <w:rPr>
                <w:rFonts w:ascii="Helvetica Neue" w:hAnsi="Helvetica Neue"/>
                <w:color w:val="000000"/>
                <w:sz w:val="15"/>
                <w:szCs w:val="15"/>
                <w:lang w:eastAsia="ko-KR"/>
              </w:rPr>
              <w:t>26</w:t>
            </w:r>
            <w:r w:rsidRPr="00804854">
              <w:rPr>
                <w:rFonts w:ascii="Helvetica Neue" w:hAnsi="Helvetica Neue"/>
                <w:color w:val="000000"/>
                <w:sz w:val="15"/>
                <w:szCs w:val="15"/>
                <w:lang w:eastAsia="ko-KR"/>
              </w:rPr>
              <w:t>.5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05650"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p w14:paraId="69AC137A"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vAlign w:val="center"/>
            <w:hideMark/>
          </w:tcPr>
          <w:p w14:paraId="0974160D" w14:textId="77777777" w:rsidR="00E07F10" w:rsidRPr="00804854" w:rsidRDefault="00E07F10" w:rsidP="00766718">
            <w:pPr>
              <w:spacing w:after="0"/>
              <w:rPr>
                <w:sz w:val="24"/>
                <w:szCs w:val="24"/>
                <w:lang w:eastAsia="ko-KR"/>
              </w:rPr>
            </w:pPr>
            <w:r>
              <w:rPr>
                <w:rFonts w:ascii="Helvetica Neue" w:hAnsi="Helvetica Neue"/>
                <w:color w:val="000000"/>
                <w:sz w:val="15"/>
                <w:szCs w:val="15"/>
                <w:lang w:eastAsia="ko-KR"/>
              </w:rPr>
              <w:t>12</w:t>
            </w:r>
            <w:r w:rsidRPr="00804854">
              <w:rPr>
                <w:rFonts w:ascii="Helvetica Neue" w:hAnsi="Helvetica Neue"/>
                <w:color w:val="000000"/>
                <w:sz w:val="15"/>
                <w:szCs w:val="15"/>
                <w:lang w:eastAsia="ko-KR"/>
              </w:rPr>
              <w:t>.</w:t>
            </w:r>
            <w:r>
              <w:rPr>
                <w:rFonts w:ascii="Helvetica Neue" w:hAnsi="Helvetica Neue"/>
                <w:color w:val="000000"/>
                <w:sz w:val="15"/>
                <w:szCs w:val="15"/>
                <w:lang w:eastAsia="ko-KR"/>
              </w:rPr>
              <w:t>7</w:t>
            </w:r>
            <w:r w:rsidRPr="00804854">
              <w:rPr>
                <w:rFonts w:ascii="Helvetica Neue" w:hAnsi="Helvetica Neue"/>
                <w:color w:val="000000"/>
                <w:sz w:val="15"/>
                <w:szCs w:val="15"/>
                <w:lang w:eastAsia="ko-KR"/>
              </w:rPr>
              <w:t>MHz (UL</w:t>
            </w:r>
            <w:r>
              <w:rPr>
                <w:rFonts w:ascii="Helvetica Neue" w:hAnsi="Helvetica Neue"/>
                <w:color w:val="000000"/>
                <w:sz w:val="15"/>
                <w:szCs w:val="15"/>
                <w:lang w:eastAsia="ko-KR"/>
              </w:rPr>
              <w:t>/DL</w:t>
            </w:r>
            <w:r w:rsidRPr="00804854">
              <w:rPr>
                <w:rFonts w:ascii="Helvetica Neue" w:hAnsi="Helvetica Neue"/>
                <w:color w:val="000000"/>
                <w:sz w:val="15"/>
                <w:szCs w:val="15"/>
                <w:lang w:eastAsia="ko-KR"/>
              </w:rPr>
              <w:t>)</w:t>
            </w:r>
          </w:p>
        </w:tc>
        <w:tc>
          <w:tcPr>
            <w:tcW w:w="850" w:type="dxa"/>
            <w:vMerge/>
            <w:tcBorders>
              <w:top w:val="single" w:sz="6" w:space="0" w:color="000000"/>
              <w:left w:val="single" w:sz="6" w:space="0" w:color="000000"/>
              <w:bottom w:val="single" w:sz="6" w:space="0" w:color="000000"/>
              <w:right w:val="single" w:sz="6" w:space="0" w:color="000000"/>
            </w:tcBorders>
            <w:vAlign w:val="center"/>
            <w:hideMark/>
          </w:tcPr>
          <w:p w14:paraId="457EA553" w14:textId="77777777" w:rsidR="00E07F10" w:rsidRPr="00804854" w:rsidRDefault="00E07F10" w:rsidP="00766718">
            <w:pPr>
              <w:spacing w:after="0"/>
              <w:rPr>
                <w:sz w:val="24"/>
                <w:szCs w:val="24"/>
                <w:lang w:eastAsia="ko-KR"/>
              </w:rPr>
            </w:pPr>
          </w:p>
        </w:tc>
      </w:tr>
      <w:tr w:rsidR="00E07F10" w:rsidRPr="00804854" w14:paraId="4C6A846F"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5CAA5446"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6FFBA4"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1626.5-1660.5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157FDF"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D757D0"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34MHz (UL)</w:t>
            </w:r>
          </w:p>
        </w:tc>
        <w:tc>
          <w:tcPr>
            <w:tcW w:w="850" w:type="dxa"/>
            <w:vMerge/>
            <w:tcBorders>
              <w:top w:val="single" w:sz="6" w:space="0" w:color="000000"/>
              <w:left w:val="single" w:sz="6" w:space="0" w:color="000000"/>
              <w:bottom w:val="single" w:sz="6" w:space="0" w:color="000000"/>
              <w:right w:val="single" w:sz="6" w:space="0" w:color="000000"/>
            </w:tcBorders>
            <w:vAlign w:val="center"/>
            <w:hideMark/>
          </w:tcPr>
          <w:p w14:paraId="0350C38C" w14:textId="77777777" w:rsidR="00E07F10" w:rsidRPr="00804854" w:rsidRDefault="00E07F10" w:rsidP="00766718">
            <w:pPr>
              <w:spacing w:after="0"/>
              <w:rPr>
                <w:sz w:val="24"/>
                <w:szCs w:val="24"/>
                <w:lang w:eastAsia="ko-KR"/>
              </w:rPr>
            </w:pPr>
          </w:p>
        </w:tc>
      </w:tr>
      <w:tr w:rsidR="00E07F10" w:rsidRPr="00804854" w14:paraId="186D9BF7" w14:textId="77777777" w:rsidTr="00766718">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2D678778"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77C4DBB6"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1668-1668.4</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562DBC24"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3397A7FE"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7MHz (UL)</w:t>
            </w:r>
          </w:p>
        </w:tc>
        <w:tc>
          <w:tcPr>
            <w:tcW w:w="850" w:type="dxa"/>
            <w:vMerge/>
            <w:tcBorders>
              <w:top w:val="single" w:sz="6" w:space="0" w:color="000000"/>
              <w:left w:val="single" w:sz="6" w:space="0" w:color="000000"/>
              <w:bottom w:val="single" w:sz="6" w:space="0" w:color="000000"/>
              <w:right w:val="single" w:sz="6" w:space="0" w:color="000000"/>
            </w:tcBorders>
            <w:vAlign w:val="center"/>
            <w:hideMark/>
          </w:tcPr>
          <w:p w14:paraId="5C1478DD" w14:textId="77777777" w:rsidR="00E07F10" w:rsidRPr="00804854" w:rsidRDefault="00E07F10" w:rsidP="00766718">
            <w:pPr>
              <w:spacing w:after="0"/>
              <w:rPr>
                <w:sz w:val="24"/>
                <w:szCs w:val="24"/>
                <w:lang w:eastAsia="ko-KR"/>
              </w:rPr>
            </w:pPr>
          </w:p>
        </w:tc>
      </w:tr>
      <w:tr w:rsidR="00E07F10" w:rsidRPr="00804854" w14:paraId="6B0EB3C6"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400518DD"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97B0BA"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1668.4-1670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638C43"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hideMark/>
          </w:tcPr>
          <w:p w14:paraId="5208C520" w14:textId="77777777" w:rsidR="00E07F10" w:rsidRPr="00804854" w:rsidRDefault="00E07F10" w:rsidP="00766718">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hideMark/>
          </w:tcPr>
          <w:p w14:paraId="357F2DD9" w14:textId="77777777" w:rsidR="00E07F10" w:rsidRPr="00804854" w:rsidRDefault="00E07F10" w:rsidP="00766718">
            <w:pPr>
              <w:spacing w:after="0"/>
              <w:rPr>
                <w:sz w:val="24"/>
                <w:szCs w:val="24"/>
                <w:lang w:eastAsia="ko-KR"/>
              </w:rPr>
            </w:pPr>
          </w:p>
        </w:tc>
      </w:tr>
      <w:tr w:rsidR="00E07F10" w:rsidRPr="00804854" w14:paraId="1EE55EC0"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2E1399E2"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41033CC2"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1670-1675</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343EA728"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hideMark/>
          </w:tcPr>
          <w:p w14:paraId="629F8AB6" w14:textId="77777777" w:rsidR="00E07F10" w:rsidRPr="00804854" w:rsidRDefault="00E07F10" w:rsidP="00766718">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hideMark/>
          </w:tcPr>
          <w:p w14:paraId="1D995883" w14:textId="77777777" w:rsidR="00E07F10" w:rsidRPr="00804854" w:rsidRDefault="00E07F10" w:rsidP="00766718">
            <w:pPr>
              <w:spacing w:after="0"/>
              <w:rPr>
                <w:sz w:val="24"/>
                <w:szCs w:val="24"/>
                <w:lang w:eastAsia="ko-KR"/>
              </w:rPr>
            </w:pPr>
          </w:p>
        </w:tc>
      </w:tr>
      <w:tr w:rsidR="00E07F10" w:rsidRPr="00804854" w14:paraId="0BCE634F" w14:textId="77777777" w:rsidTr="00766718">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6070B853" w14:textId="77777777" w:rsidR="00E07F10" w:rsidRPr="00804854" w:rsidRDefault="00E07F10" w:rsidP="00766718">
            <w:pPr>
              <w:spacing w:after="0"/>
              <w:rPr>
                <w:rFonts w:ascii="Helvetica" w:hAnsi="Helvetica"/>
                <w:sz w:val="18"/>
                <w:szCs w:val="18"/>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5C3A6B" w14:textId="77777777" w:rsidR="00E07F10" w:rsidRPr="00804854" w:rsidRDefault="00E07F10" w:rsidP="00766718">
            <w:pPr>
              <w:spacing w:after="0"/>
              <w:rPr>
                <w:rFonts w:ascii="Helvetica" w:hAnsi="Helvetica"/>
                <w:sz w:val="18"/>
                <w:szCs w:val="18"/>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39F4C8" w14:textId="77777777" w:rsidR="00E07F10" w:rsidRPr="00804854" w:rsidRDefault="00E07F10" w:rsidP="00766718">
            <w:pPr>
              <w:spacing w:after="0"/>
              <w:rPr>
                <w:rFonts w:ascii="Helvetica" w:hAnsi="Helvetica"/>
                <w:sz w:val="18"/>
                <w:szCs w:val="18"/>
                <w:lang w:eastAsia="ko-KR"/>
              </w:rPr>
            </w:pP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09BA8" w14:textId="77777777" w:rsidR="00E07F10" w:rsidRPr="00804854" w:rsidRDefault="00E07F10" w:rsidP="00766718">
            <w:pPr>
              <w:spacing w:after="0"/>
              <w:rPr>
                <w:rFonts w:ascii="Helvetica" w:hAnsi="Helvetica"/>
                <w:sz w:val="18"/>
                <w:szCs w:val="18"/>
                <w:lang w:eastAsia="ko-KR"/>
              </w:rPr>
            </w:pP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1077BD" w14:textId="77777777" w:rsidR="00E07F10" w:rsidRPr="00804854" w:rsidRDefault="00E07F10" w:rsidP="00766718">
            <w:pPr>
              <w:spacing w:after="0"/>
              <w:rPr>
                <w:rFonts w:ascii="Helvetica" w:hAnsi="Helvetica"/>
                <w:sz w:val="18"/>
                <w:szCs w:val="18"/>
                <w:lang w:eastAsia="ko-KR"/>
              </w:rPr>
            </w:pPr>
          </w:p>
        </w:tc>
      </w:tr>
      <w:tr w:rsidR="00E07F10" w:rsidRPr="00804854" w14:paraId="60091B18" w14:textId="77777777" w:rsidTr="00766718">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7C4726B" w14:textId="77777777" w:rsidR="00E07F10" w:rsidRPr="00804854" w:rsidRDefault="00E07F10" w:rsidP="00766718">
            <w:pPr>
              <w:spacing w:after="0"/>
              <w:rPr>
                <w:sz w:val="24"/>
                <w:szCs w:val="24"/>
                <w:lang w:eastAsia="ko-KR"/>
              </w:rPr>
            </w:pPr>
            <w:r w:rsidRPr="00804854">
              <w:rPr>
                <w:rFonts w:ascii="Helvetica Neue" w:hAnsi="Helvetica Neue"/>
                <w:b/>
                <w:bCs/>
                <w:color w:val="000000"/>
                <w:sz w:val="15"/>
                <w:szCs w:val="15"/>
                <w:lang w:eastAsia="ko-KR"/>
              </w:rPr>
              <w:t>S-band</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16662680"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1980-2010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67DFB5BE"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0C4C318A"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30MHz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621523BE"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1, 2, 3</w:t>
            </w:r>
          </w:p>
        </w:tc>
      </w:tr>
      <w:tr w:rsidR="00E07F10" w:rsidRPr="00804854" w14:paraId="352E325B"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58615736"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5B973F"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2010-2025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C6238E"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EC5FF"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15MHz (UL)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0E7F15"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w:t>
            </w:r>
          </w:p>
        </w:tc>
      </w:tr>
      <w:tr w:rsidR="00E07F10" w:rsidRPr="00804854" w14:paraId="13FB0366"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484E9750"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0A0FB221"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2160-2170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17315C34"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5BAB03EA"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10MHz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4AC21DB8"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w:t>
            </w:r>
          </w:p>
        </w:tc>
      </w:tr>
      <w:tr w:rsidR="00E07F10" w:rsidRPr="00804854" w14:paraId="1AB3929B"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1FBE1495"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285844"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2170-2200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1520"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A4019"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30MHz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29BFE5"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1, 2, 3</w:t>
            </w:r>
          </w:p>
        </w:tc>
      </w:tr>
      <w:tr w:rsidR="00E07F10" w:rsidRPr="00804854" w14:paraId="2F74D0DB" w14:textId="77777777" w:rsidTr="00766718">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760BF2B0"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436A347C"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2483.5-2500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5C6C5E46"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44698C7B"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16.5MHz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203F177D"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1, 2, 3</w:t>
            </w:r>
          </w:p>
        </w:tc>
      </w:tr>
      <w:tr w:rsidR="00E07F10" w:rsidRPr="00804854" w14:paraId="1E0267AC"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2F7D2F1C"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851EEF"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2500-2520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00A7E4"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35B36A"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0BE54"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3</w:t>
            </w:r>
          </w:p>
        </w:tc>
      </w:tr>
      <w:tr w:rsidR="00E07F10" w:rsidRPr="00804854" w14:paraId="5F9E68DB" w14:textId="77777777" w:rsidTr="00766718">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5D4FEC14" w14:textId="77777777" w:rsidR="00E07F10" w:rsidRPr="00804854" w:rsidRDefault="00E07F10" w:rsidP="00766718">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5E2096C0"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2670-2690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23443BA3"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0BB0A7AC"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20MHz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131D2197"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3</w:t>
            </w:r>
          </w:p>
        </w:tc>
      </w:tr>
    </w:tbl>
    <w:p w14:paraId="5B2992F1" w14:textId="77777777" w:rsidR="00E07F10" w:rsidRDefault="00E07F10" w:rsidP="00E07F10"/>
    <w:p w14:paraId="64F70B47" w14:textId="77777777" w:rsidR="00E07F10" w:rsidRDefault="00E07F10" w:rsidP="00E07F10">
      <w:r>
        <w:t>The satellite allocations are "paired" in a sense that DL and UL blocks reside on different center frequencies, for which 3GPP can in principle consider frequency division duplex (FDD). However, satellite allocations do not follow exactly the same "paired" spectrum allocations as what 3GPP assumes for the FDD terrestrial bands (</w:t>
      </w:r>
      <w:proofErr w:type="gramStart"/>
      <w:r>
        <w:t>i.e.</w:t>
      </w:r>
      <w:proofErr w:type="gramEnd"/>
      <w:r>
        <w:t xml:space="preserve"> two blocks of paired spectrum with a duplex gap in between). Different DL blocks can be paired with different UL blocks depending on a particular deployment case and scenario. Thus, when defining the band plan for NTN bands, 3GPP should </w:t>
      </w:r>
      <w:proofErr w:type="gramStart"/>
      <w:r>
        <w:t>take into account</w:t>
      </w:r>
      <w:proofErr w:type="gramEnd"/>
      <w:r>
        <w:t xml:space="preserve"> the way regional regulators and service operators pair UL and DL frequency ranges.  These pairings may not follow the same principles according to which terrestrial bands are specified, and flexible pairing of UL and DL sub-ranges may be useful to consider.</w:t>
      </w:r>
    </w:p>
    <w:p w14:paraId="747899ED" w14:textId="77777777" w:rsidR="00E07F10" w:rsidRPr="00C502D0" w:rsidRDefault="00E07F10" w:rsidP="00E07F10">
      <w:pPr>
        <w:pStyle w:val="Observation"/>
      </w:pPr>
      <w:r w:rsidRPr="00C502D0">
        <w:t xml:space="preserve">Observation </w:t>
      </w:r>
      <w:r>
        <w:t>1</w:t>
      </w:r>
      <w:r w:rsidRPr="00C502D0">
        <w:t>:</w:t>
      </w:r>
      <w:r w:rsidRPr="00C502D0">
        <w:tab/>
      </w:r>
      <w:r>
        <w:t>W</w:t>
      </w:r>
      <w:r w:rsidRPr="00C10C92">
        <w:t xml:space="preserve">hen defining the band plan for NTN bands, 3GPP should </w:t>
      </w:r>
      <w:proofErr w:type="gramStart"/>
      <w:r w:rsidRPr="00C10C92">
        <w:t>take into account</w:t>
      </w:r>
      <w:proofErr w:type="gramEnd"/>
      <w:r w:rsidRPr="00C10C92">
        <w:t xml:space="preserve"> the way regional regulators and service operators pair UL and DL frequency ranges.</w:t>
      </w:r>
    </w:p>
    <w:p w14:paraId="51B611F5" w14:textId="77777777" w:rsidR="00E07F10" w:rsidRDefault="00E07F10" w:rsidP="00E07F10">
      <w:r>
        <w:t xml:space="preserve">Recalling the agreement from RAN4 #98bis </w:t>
      </w:r>
      <w:r>
        <w:fldChar w:fldCharType="begin"/>
      </w:r>
      <w:r>
        <w:instrText xml:space="preserve"> REF _Ref70001827 \r \h </w:instrText>
      </w:r>
      <w:r>
        <w:fldChar w:fldCharType="separate"/>
      </w:r>
      <w:r>
        <w:t>[9]</w:t>
      </w:r>
      <w:r>
        <w:fldChar w:fldCharType="end"/>
      </w:r>
      <w:r>
        <w:t xml:space="preserve">, the selection of the </w:t>
      </w:r>
      <w:r w:rsidRPr="00AB46D5">
        <w:t>1980 - 2010 MHz</w:t>
      </w:r>
      <w:r>
        <w:t xml:space="preserve"> UL </w:t>
      </w:r>
      <w:r w:rsidRPr="00AB46D5">
        <w:t>and 2170 - 2200 MHz</w:t>
      </w:r>
      <w:r>
        <w:t xml:space="preserve"> DL pairing within the S-band is only one possible pairing, where both UL and DL sub-ranges happen to fall within the S-band frequency range. </w:t>
      </w:r>
    </w:p>
    <w:p w14:paraId="50DBBD65" w14:textId="77777777" w:rsidR="00E07F10" w:rsidRDefault="00E07F10" w:rsidP="00E07F10">
      <w:pPr>
        <w:pStyle w:val="Proposal"/>
      </w:pPr>
      <w:r>
        <w:t>Proposal 1:</w:t>
      </w:r>
      <w:r>
        <w:tab/>
        <w:t>RAN4 shall also consider the mixed pairing of (L-band) and (S-band) in the related NTN work item.</w:t>
      </w:r>
    </w:p>
    <w:p w14:paraId="18FD99EB" w14:textId="77777777" w:rsidR="00E07F10" w:rsidRDefault="00E07F10" w:rsidP="00E07F10">
      <w:r>
        <w:t xml:space="preserve">There is another potential pairing involving UL block </w:t>
      </w:r>
      <w:r w:rsidRPr="00AB46D5">
        <w:t xml:space="preserve">1610 - </w:t>
      </w:r>
      <w:r>
        <w:t xml:space="preserve">1618.725MHz from the L-band and the DL block </w:t>
      </w:r>
      <w:r w:rsidRPr="00AB46D5">
        <w:t xml:space="preserve">2483.5 </w:t>
      </w:r>
      <w:r>
        <w:t>–</w:t>
      </w:r>
      <w:r w:rsidRPr="00AB46D5">
        <w:t xml:space="preserve"> 2500</w:t>
      </w:r>
      <w:r>
        <w:t xml:space="preserve">MHz from the S-band. Referring specifically to the UL block, ITU-R regulations allocate </w:t>
      </w:r>
      <w:r w:rsidRPr="007B7DCD">
        <w:t>1610-1613.8</w:t>
      </w:r>
      <w:r>
        <w:t xml:space="preserve">MHz for the UL operation. At the same time, the </w:t>
      </w:r>
      <w:r w:rsidRPr="007B7DCD">
        <w:t>1613.8-1626.5</w:t>
      </w:r>
      <w:r>
        <w:t xml:space="preserve">MHz block can be used for the UL operation on the primary basis and the DL operation on the secondary basis. As follows from the FCC Order of Modification 08-248, it was agreed </w:t>
      </w:r>
      <w:r>
        <w:lastRenderedPageBreak/>
        <w:t xml:space="preserve">that a contiguous block of 1610-1618.725MHz is allocated for UL mobile satellite service (within which 1610-1617.775MHz is authorised for exclusive use and 1617.775-1618.725MHz shall operate on a shared basis). </w:t>
      </w:r>
    </w:p>
    <w:p w14:paraId="5406981F" w14:textId="77777777" w:rsidR="00E07F10" w:rsidRDefault="00E07F10" w:rsidP="00E07F10">
      <w:pPr>
        <w:pStyle w:val="Proposal"/>
      </w:pPr>
      <w:r>
        <w:t>Proposal 2:</w:t>
      </w:r>
      <w:r>
        <w:tab/>
        <w:t xml:space="preserve">RAN4 shall also consider the pairing of </w:t>
      </w:r>
      <w:r w:rsidRPr="00E17180">
        <w:t xml:space="preserve">1610 - </w:t>
      </w:r>
      <w:r>
        <w:t>1618.725</w:t>
      </w:r>
      <w:r w:rsidRPr="00E17180">
        <w:t xml:space="preserve"> MHz UL </w:t>
      </w:r>
      <w:r>
        <w:t xml:space="preserve">(L-band) </w:t>
      </w:r>
      <w:r w:rsidRPr="00E17180">
        <w:t>and 2483.5 – 2500 MHz DL</w:t>
      </w:r>
      <w:r>
        <w:t xml:space="preserve"> (S-band) in the related NTN work item.</w:t>
      </w:r>
    </w:p>
    <w:p w14:paraId="1C06CF9B" w14:textId="77777777" w:rsidR="00E07F10" w:rsidRDefault="00E07F10" w:rsidP="00E07F10">
      <w:pPr>
        <w:pStyle w:val="Heading2"/>
      </w:pPr>
      <w:r>
        <w:t>2.2</w:t>
      </w:r>
      <w:r>
        <w:tab/>
        <w:t>Regulatory requirements</w:t>
      </w:r>
    </w:p>
    <w:p w14:paraId="4C5727D4" w14:textId="77777777" w:rsidR="00E07F10" w:rsidRDefault="00E07F10" w:rsidP="00E07F10">
      <w:proofErr w:type="gramStart"/>
      <w:r>
        <w:t>In an effort to</w:t>
      </w:r>
      <w:proofErr w:type="gramEnd"/>
      <w:r>
        <w:t xml:space="preserve"> initiate the regulatory survey of requirements applicable to the pairing of </w:t>
      </w:r>
      <w:r w:rsidRPr="00AB46D5">
        <w:t xml:space="preserve">1610 - </w:t>
      </w:r>
      <w:r>
        <w:t xml:space="preserve">1618.725 MHz UL and </w:t>
      </w:r>
      <w:r w:rsidRPr="00AB46D5">
        <w:t xml:space="preserve">2483.5 </w:t>
      </w:r>
      <w:r>
        <w:t>–</w:t>
      </w:r>
      <w:r w:rsidRPr="00AB46D5">
        <w:t xml:space="preserve"> 2500</w:t>
      </w:r>
      <w:r>
        <w:t xml:space="preserve"> MHz DL, Table 2 below summarizes the applicable regulatory requirements to this pairing of UL and DL.</w:t>
      </w:r>
    </w:p>
    <w:p w14:paraId="469FC489" w14:textId="77777777" w:rsidR="00E07F10" w:rsidRDefault="00E07F10" w:rsidP="00E07F10">
      <w:pPr>
        <w:pStyle w:val="TF"/>
      </w:pPr>
      <w:r>
        <w:t xml:space="preserve">Table 2: Regulatory requirements for </w:t>
      </w:r>
      <w:r w:rsidRPr="00ED368C">
        <w:t xml:space="preserve">1610 - </w:t>
      </w:r>
      <w:r>
        <w:t>1618.725</w:t>
      </w:r>
      <w:r w:rsidRPr="00ED368C">
        <w:t xml:space="preserve"> MHz UL and 2483.5 – 2500 MHz DL</w:t>
      </w:r>
    </w:p>
    <w:tbl>
      <w:tblPr>
        <w:tblW w:w="0" w:type="auto"/>
        <w:jc w:val="center"/>
        <w:tblCellMar>
          <w:left w:w="0" w:type="dxa"/>
          <w:right w:w="0" w:type="dxa"/>
        </w:tblCellMar>
        <w:tblLook w:val="04A0" w:firstRow="1" w:lastRow="0" w:firstColumn="1" w:lastColumn="0" w:noHBand="0" w:noVBand="1"/>
      </w:tblPr>
      <w:tblGrid>
        <w:gridCol w:w="1701"/>
        <w:gridCol w:w="1701"/>
        <w:gridCol w:w="1189"/>
        <w:gridCol w:w="1584"/>
        <w:gridCol w:w="1710"/>
      </w:tblGrid>
      <w:tr w:rsidR="00E07F10" w:rsidRPr="00804854" w14:paraId="2C0E0426" w14:textId="77777777" w:rsidTr="00766718">
        <w:trPr>
          <w:trHeight w:val="210"/>
          <w:jc w:val="center"/>
        </w:trPr>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A439169" w14:textId="77777777" w:rsidR="00E07F10" w:rsidRPr="00804854" w:rsidRDefault="00E07F10" w:rsidP="00766718">
            <w:pPr>
              <w:spacing w:after="0"/>
              <w:rPr>
                <w:sz w:val="24"/>
                <w:szCs w:val="24"/>
                <w:lang w:eastAsia="ko-KR"/>
              </w:rPr>
            </w:pPr>
            <w:r w:rsidRPr="00804854">
              <w:rPr>
                <w:rFonts w:ascii="Helvetica Neue" w:hAnsi="Helvetica Neue"/>
                <w:b/>
                <w:bCs/>
                <w:color w:val="000000"/>
                <w:sz w:val="15"/>
                <w:szCs w:val="15"/>
                <w:lang w:eastAsia="ko-KR"/>
              </w:rPr>
              <w:t>Frequencies (MHz)</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D2E5A97" w14:textId="77777777" w:rsidR="00E07F10" w:rsidRPr="00804854" w:rsidRDefault="00E07F10" w:rsidP="00766718">
            <w:pPr>
              <w:spacing w:after="0"/>
              <w:rPr>
                <w:sz w:val="24"/>
                <w:szCs w:val="24"/>
                <w:lang w:eastAsia="ko-KR"/>
              </w:rPr>
            </w:pPr>
            <w:r w:rsidRPr="00804854">
              <w:rPr>
                <w:rFonts w:ascii="Helvetica Neue" w:hAnsi="Helvetica Neue"/>
                <w:b/>
                <w:bCs/>
                <w:color w:val="000000"/>
                <w:sz w:val="15"/>
                <w:szCs w:val="15"/>
                <w:lang w:eastAsia="ko-KR"/>
              </w:rPr>
              <w:t>Direction</w:t>
            </w:r>
          </w:p>
        </w:tc>
        <w:tc>
          <w:tcPr>
            <w:tcW w:w="1189" w:type="dxa"/>
            <w:tcBorders>
              <w:top w:val="single" w:sz="6" w:space="0" w:color="000000"/>
              <w:left w:val="single" w:sz="6" w:space="0" w:color="000000"/>
              <w:bottom w:val="single" w:sz="6" w:space="0" w:color="000000"/>
              <w:right w:val="single" w:sz="6" w:space="0" w:color="000000"/>
            </w:tcBorders>
            <w:shd w:val="clear" w:color="auto" w:fill="B0B3B2"/>
          </w:tcPr>
          <w:p w14:paraId="465606A2" w14:textId="77777777" w:rsidR="00E07F10" w:rsidRDefault="00E07F10" w:rsidP="00766718">
            <w:pPr>
              <w:spacing w:after="0"/>
              <w:rPr>
                <w:rFonts w:ascii="Helvetica Neue" w:hAnsi="Helvetica Neue"/>
                <w:b/>
                <w:bCs/>
                <w:color w:val="000000"/>
                <w:sz w:val="15"/>
                <w:szCs w:val="15"/>
                <w:lang w:val="en-US" w:eastAsia="ko-KR"/>
              </w:rPr>
            </w:pPr>
            <w:r>
              <w:rPr>
                <w:rFonts w:ascii="Helvetica Neue" w:hAnsi="Helvetica Neue"/>
                <w:b/>
                <w:bCs/>
                <w:color w:val="000000"/>
                <w:sz w:val="15"/>
                <w:szCs w:val="15"/>
                <w:lang w:val="en-US" w:eastAsia="ko-KR"/>
              </w:rPr>
              <w:t>Total BW (MHz)</w:t>
            </w:r>
          </w:p>
        </w:tc>
        <w:tc>
          <w:tcPr>
            <w:tcW w:w="158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D493C08" w14:textId="77777777" w:rsidR="00E07F10" w:rsidRPr="00C75FA6" w:rsidRDefault="00E07F10" w:rsidP="00766718">
            <w:pPr>
              <w:spacing w:after="0"/>
              <w:rPr>
                <w:sz w:val="24"/>
                <w:szCs w:val="24"/>
                <w:lang w:val="en-US" w:eastAsia="ko-KR"/>
              </w:rPr>
            </w:pPr>
            <w:r>
              <w:rPr>
                <w:rFonts w:ascii="Helvetica Neue" w:hAnsi="Helvetica Neue"/>
                <w:b/>
                <w:bCs/>
                <w:color w:val="000000"/>
                <w:sz w:val="15"/>
                <w:szCs w:val="15"/>
                <w:lang w:val="en-US" w:eastAsia="ko-KR"/>
              </w:rPr>
              <w:t>FCC regulation</w:t>
            </w:r>
          </w:p>
        </w:tc>
        <w:tc>
          <w:tcPr>
            <w:tcW w:w="171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D90EE2D" w14:textId="77777777" w:rsidR="00E07F10" w:rsidRPr="00C75FA6" w:rsidRDefault="00E07F10" w:rsidP="00766718">
            <w:pPr>
              <w:spacing w:after="0"/>
              <w:rPr>
                <w:sz w:val="24"/>
                <w:szCs w:val="24"/>
                <w:lang w:val="en-US" w:eastAsia="ko-KR"/>
              </w:rPr>
            </w:pPr>
            <w:r>
              <w:rPr>
                <w:rFonts w:ascii="Helvetica Neue" w:hAnsi="Helvetica Neue"/>
                <w:b/>
                <w:bCs/>
                <w:color w:val="000000"/>
                <w:sz w:val="15"/>
                <w:szCs w:val="15"/>
                <w:lang w:val="en-US" w:eastAsia="ko-KR"/>
              </w:rPr>
              <w:t>ETSI regulation</w:t>
            </w:r>
          </w:p>
        </w:tc>
      </w:tr>
      <w:tr w:rsidR="00E07F10" w:rsidRPr="00804854" w14:paraId="16CCD63D" w14:textId="77777777" w:rsidTr="00766718">
        <w:trPr>
          <w:trHeight w:val="195"/>
          <w:jc w:val="center"/>
        </w:trPr>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C1EA71" w14:textId="77777777" w:rsidR="00E07F10" w:rsidRPr="00C75FA6" w:rsidRDefault="00E07F10" w:rsidP="00766718">
            <w:pPr>
              <w:spacing w:after="0"/>
              <w:rPr>
                <w:sz w:val="24"/>
                <w:szCs w:val="24"/>
                <w:lang w:val="en-US" w:eastAsia="ko-KR"/>
              </w:rPr>
            </w:pPr>
            <w:r>
              <w:rPr>
                <w:rFonts w:ascii="Helvetica Neue" w:hAnsi="Helvetica Neue"/>
                <w:color w:val="000000"/>
                <w:sz w:val="15"/>
                <w:szCs w:val="15"/>
                <w:lang w:val="en-US" w:eastAsia="ko-KR"/>
              </w:rPr>
              <w:t>1610</w:t>
            </w:r>
            <w:r w:rsidRPr="00804854">
              <w:rPr>
                <w:rFonts w:ascii="Helvetica Neue" w:hAnsi="Helvetica Neue"/>
                <w:color w:val="000000"/>
                <w:sz w:val="15"/>
                <w:szCs w:val="15"/>
                <w:lang w:eastAsia="ko-KR"/>
              </w:rPr>
              <w:t>-</w:t>
            </w:r>
            <w:r>
              <w:rPr>
                <w:rFonts w:ascii="Helvetica Neue" w:hAnsi="Helvetica Neue"/>
                <w:color w:val="000000"/>
                <w:sz w:val="15"/>
                <w:szCs w:val="15"/>
                <w:lang w:val="en-US" w:eastAsia="ko-KR"/>
              </w:rPr>
              <w:t>1618.725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4BB337"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Earth to Space (UL)</w:t>
            </w:r>
          </w:p>
        </w:tc>
        <w:tc>
          <w:tcPr>
            <w:tcW w:w="1189" w:type="dxa"/>
            <w:tcBorders>
              <w:top w:val="single" w:sz="6" w:space="0" w:color="000000"/>
              <w:left w:val="single" w:sz="6" w:space="0" w:color="000000"/>
              <w:bottom w:val="single" w:sz="6" w:space="0" w:color="000000"/>
              <w:right w:val="single" w:sz="6" w:space="0" w:color="000000"/>
            </w:tcBorders>
          </w:tcPr>
          <w:p w14:paraId="6527075D" w14:textId="77777777" w:rsidR="00E07F10" w:rsidRPr="00F13B41" w:rsidRDefault="00E07F10" w:rsidP="00766718">
            <w:pPr>
              <w:spacing w:after="0"/>
              <w:rPr>
                <w:rFonts w:ascii="Helvetica Neue" w:hAnsi="Helvetica Neue"/>
                <w:color w:val="000000"/>
                <w:sz w:val="15"/>
                <w:szCs w:val="15"/>
                <w:lang w:val="en-US" w:eastAsia="ko-KR"/>
              </w:rPr>
            </w:pPr>
            <w:r>
              <w:rPr>
                <w:rFonts w:ascii="Helvetica Neue" w:hAnsi="Helvetica Neue"/>
                <w:color w:val="000000"/>
                <w:sz w:val="15"/>
                <w:szCs w:val="15"/>
                <w:lang w:val="en-US" w:eastAsia="ko-KR"/>
              </w:rPr>
              <w:t>8.725</w:t>
            </w:r>
          </w:p>
        </w:tc>
        <w:tc>
          <w:tcPr>
            <w:tcW w:w="15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527871" w14:textId="77777777" w:rsidR="00E07F10" w:rsidRPr="00DC51D4" w:rsidRDefault="00E07F10" w:rsidP="00766718">
            <w:pPr>
              <w:spacing w:after="0"/>
              <w:rPr>
                <w:sz w:val="24"/>
                <w:szCs w:val="24"/>
                <w:lang w:val="en-US" w:eastAsia="ko-KR"/>
              </w:rPr>
            </w:pPr>
            <w:r w:rsidRPr="00C75FA6">
              <w:rPr>
                <w:rFonts w:ascii="Helvetica Neue" w:hAnsi="Helvetica Neue"/>
                <w:color w:val="000000"/>
                <w:sz w:val="15"/>
                <w:szCs w:val="15"/>
                <w:lang w:eastAsia="ko-KR"/>
              </w:rPr>
              <w:t>FCC 47 CFR 25.202, 25.216</w:t>
            </w:r>
            <w:r>
              <w:rPr>
                <w:rFonts w:ascii="Helvetica Neue" w:hAnsi="Helvetica Neue"/>
                <w:color w:val="000000"/>
                <w:sz w:val="15"/>
                <w:szCs w:val="15"/>
                <w:lang w:val="en-US" w:eastAsia="ko-KR"/>
              </w:rPr>
              <w:t xml:space="preserve"> </w:t>
            </w:r>
            <w:r>
              <w:rPr>
                <w:rFonts w:ascii="Helvetica Neue" w:hAnsi="Helvetica Neue"/>
                <w:color w:val="000000"/>
                <w:sz w:val="15"/>
                <w:szCs w:val="15"/>
                <w:lang w:val="en-US" w:eastAsia="ko-KR"/>
              </w:rPr>
              <w:fldChar w:fldCharType="begin"/>
            </w:r>
            <w:r>
              <w:rPr>
                <w:rFonts w:ascii="Helvetica Neue" w:hAnsi="Helvetica Neue"/>
                <w:color w:val="000000"/>
                <w:sz w:val="15"/>
                <w:szCs w:val="15"/>
                <w:lang w:val="en-US" w:eastAsia="ko-KR"/>
              </w:rPr>
              <w:instrText xml:space="preserve"> REF _Ref71089916 \r \h </w:instrText>
            </w:r>
            <w:r>
              <w:rPr>
                <w:rFonts w:ascii="Helvetica Neue" w:hAnsi="Helvetica Neue"/>
                <w:color w:val="000000"/>
                <w:sz w:val="15"/>
                <w:szCs w:val="15"/>
                <w:lang w:val="en-US" w:eastAsia="ko-KR"/>
              </w:rPr>
            </w:r>
            <w:r>
              <w:rPr>
                <w:rFonts w:ascii="Helvetica Neue" w:hAnsi="Helvetica Neue"/>
                <w:color w:val="000000"/>
                <w:sz w:val="15"/>
                <w:szCs w:val="15"/>
                <w:lang w:val="en-US" w:eastAsia="ko-KR"/>
              </w:rPr>
              <w:fldChar w:fldCharType="separate"/>
            </w:r>
            <w:r>
              <w:rPr>
                <w:rFonts w:ascii="Helvetica Neue" w:hAnsi="Helvetica Neue"/>
                <w:color w:val="000000"/>
                <w:sz w:val="15"/>
                <w:szCs w:val="15"/>
                <w:lang w:val="en-US" w:eastAsia="ko-KR"/>
              </w:rPr>
              <w:t>[11]</w:t>
            </w:r>
            <w:r>
              <w:rPr>
                <w:rFonts w:ascii="Helvetica Neue" w:hAnsi="Helvetica Neue"/>
                <w:color w:val="000000"/>
                <w:sz w:val="15"/>
                <w:szCs w:val="15"/>
                <w:lang w:val="en-US" w:eastAsia="ko-KR"/>
              </w:rPr>
              <w:fldChar w:fldCharType="end"/>
            </w:r>
          </w:p>
        </w:tc>
        <w:tc>
          <w:tcPr>
            <w:tcW w:w="1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E351FA" w14:textId="77777777" w:rsidR="00E07F10" w:rsidRPr="00DC51D4" w:rsidRDefault="00E07F10" w:rsidP="00766718">
            <w:pPr>
              <w:spacing w:after="0"/>
              <w:rPr>
                <w:sz w:val="24"/>
                <w:szCs w:val="24"/>
                <w:lang w:val="en-US" w:eastAsia="ko-KR"/>
              </w:rPr>
            </w:pPr>
            <w:r w:rsidRPr="00C75FA6">
              <w:rPr>
                <w:rFonts w:ascii="Helvetica Neue" w:hAnsi="Helvetica Neue"/>
                <w:color w:val="000000"/>
                <w:sz w:val="15"/>
                <w:szCs w:val="15"/>
                <w:lang w:eastAsia="ko-KR"/>
              </w:rPr>
              <w:t>ETSI EN 301 441</w:t>
            </w:r>
            <w:r>
              <w:rPr>
                <w:rFonts w:ascii="Helvetica Neue" w:hAnsi="Helvetica Neue"/>
                <w:color w:val="000000"/>
                <w:sz w:val="15"/>
                <w:szCs w:val="15"/>
                <w:lang w:val="en-US" w:eastAsia="ko-KR"/>
              </w:rPr>
              <w:t xml:space="preserve"> </w:t>
            </w:r>
            <w:r>
              <w:rPr>
                <w:rFonts w:ascii="Helvetica Neue" w:hAnsi="Helvetica Neue"/>
                <w:color w:val="000000"/>
                <w:sz w:val="15"/>
                <w:szCs w:val="15"/>
                <w:lang w:val="en-US" w:eastAsia="ko-KR"/>
              </w:rPr>
              <w:fldChar w:fldCharType="begin"/>
            </w:r>
            <w:r>
              <w:rPr>
                <w:rFonts w:ascii="Helvetica Neue" w:hAnsi="Helvetica Neue"/>
                <w:color w:val="000000"/>
                <w:sz w:val="15"/>
                <w:szCs w:val="15"/>
                <w:lang w:val="en-US" w:eastAsia="ko-KR"/>
              </w:rPr>
              <w:instrText xml:space="preserve"> REF _Ref70004385 \r \h </w:instrText>
            </w:r>
            <w:r>
              <w:rPr>
                <w:rFonts w:ascii="Helvetica Neue" w:hAnsi="Helvetica Neue"/>
                <w:color w:val="000000"/>
                <w:sz w:val="15"/>
                <w:szCs w:val="15"/>
                <w:lang w:val="en-US" w:eastAsia="ko-KR"/>
              </w:rPr>
            </w:r>
            <w:r>
              <w:rPr>
                <w:rFonts w:ascii="Helvetica Neue" w:hAnsi="Helvetica Neue"/>
                <w:color w:val="000000"/>
                <w:sz w:val="15"/>
                <w:szCs w:val="15"/>
                <w:lang w:val="en-US" w:eastAsia="ko-KR"/>
              </w:rPr>
              <w:fldChar w:fldCharType="separate"/>
            </w:r>
            <w:r>
              <w:rPr>
                <w:rFonts w:ascii="Helvetica Neue" w:hAnsi="Helvetica Neue"/>
                <w:color w:val="000000"/>
                <w:sz w:val="15"/>
                <w:szCs w:val="15"/>
                <w:lang w:val="en-US" w:eastAsia="ko-KR"/>
              </w:rPr>
              <w:t>[12]</w:t>
            </w:r>
            <w:r>
              <w:rPr>
                <w:rFonts w:ascii="Helvetica Neue" w:hAnsi="Helvetica Neue"/>
                <w:color w:val="000000"/>
                <w:sz w:val="15"/>
                <w:szCs w:val="15"/>
                <w:lang w:val="en-US" w:eastAsia="ko-KR"/>
              </w:rPr>
              <w:fldChar w:fldCharType="end"/>
            </w:r>
          </w:p>
        </w:tc>
      </w:tr>
      <w:tr w:rsidR="00E07F10" w:rsidRPr="00804854" w14:paraId="274E1090" w14:textId="77777777" w:rsidTr="00766718">
        <w:trPr>
          <w:trHeight w:val="195"/>
          <w:jc w:val="center"/>
        </w:trPr>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4B43A3A6" w14:textId="77777777" w:rsidR="00E07F10" w:rsidRPr="00804854" w:rsidRDefault="00E07F10" w:rsidP="00766718">
            <w:pPr>
              <w:spacing w:after="0"/>
              <w:rPr>
                <w:sz w:val="24"/>
                <w:szCs w:val="24"/>
                <w:lang w:eastAsia="ko-KR"/>
              </w:rPr>
            </w:pPr>
            <w:r w:rsidRPr="00C75FA6">
              <w:rPr>
                <w:rFonts w:ascii="Helvetica Neue" w:hAnsi="Helvetica Neue"/>
                <w:color w:val="000000"/>
                <w:sz w:val="15"/>
                <w:szCs w:val="15"/>
                <w:lang w:eastAsia="ko-KR"/>
              </w:rPr>
              <w:t>2483.5 – 2500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7CE9E7B3" w14:textId="77777777" w:rsidR="00E07F10" w:rsidRPr="00804854" w:rsidRDefault="00E07F10" w:rsidP="00766718">
            <w:pPr>
              <w:spacing w:after="0"/>
              <w:rPr>
                <w:sz w:val="24"/>
                <w:szCs w:val="24"/>
                <w:lang w:eastAsia="ko-KR"/>
              </w:rPr>
            </w:pPr>
            <w:r w:rsidRPr="00804854">
              <w:rPr>
                <w:rFonts w:ascii="Helvetica Neue" w:hAnsi="Helvetica Neue"/>
                <w:color w:val="000000"/>
                <w:sz w:val="15"/>
                <w:szCs w:val="15"/>
                <w:lang w:eastAsia="ko-KR"/>
              </w:rPr>
              <w:t>Space to Earth (DL)</w:t>
            </w:r>
          </w:p>
        </w:tc>
        <w:tc>
          <w:tcPr>
            <w:tcW w:w="1189" w:type="dxa"/>
            <w:tcBorders>
              <w:top w:val="single" w:sz="6" w:space="0" w:color="000000"/>
              <w:left w:val="single" w:sz="6" w:space="0" w:color="000000"/>
              <w:bottom w:val="single" w:sz="6" w:space="0" w:color="000000"/>
              <w:right w:val="single" w:sz="6" w:space="0" w:color="000000"/>
            </w:tcBorders>
            <w:shd w:val="clear" w:color="auto" w:fill="F2F2F2"/>
          </w:tcPr>
          <w:p w14:paraId="346ABA69" w14:textId="77777777" w:rsidR="00E07F10" w:rsidRPr="00F13B41" w:rsidRDefault="00E07F10" w:rsidP="00766718">
            <w:pPr>
              <w:spacing w:after="0"/>
              <w:rPr>
                <w:sz w:val="24"/>
                <w:szCs w:val="24"/>
                <w:lang w:val="en-US" w:eastAsia="ko-KR"/>
              </w:rPr>
            </w:pPr>
            <w:r>
              <w:rPr>
                <w:rFonts w:ascii="Helvetica Neue" w:hAnsi="Helvetica Neue"/>
                <w:color w:val="000000"/>
                <w:sz w:val="15"/>
                <w:szCs w:val="15"/>
                <w:lang w:val="en-US" w:eastAsia="ko-KR"/>
              </w:rPr>
              <w:t>16.5</w:t>
            </w:r>
          </w:p>
        </w:tc>
        <w:tc>
          <w:tcPr>
            <w:tcW w:w="1584"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7D7E15B3" w14:textId="77777777" w:rsidR="00E07F10" w:rsidRPr="00804854" w:rsidRDefault="00E07F10" w:rsidP="00766718">
            <w:pPr>
              <w:spacing w:after="0"/>
              <w:rPr>
                <w:sz w:val="24"/>
                <w:szCs w:val="24"/>
                <w:lang w:eastAsia="ko-KR"/>
              </w:rPr>
            </w:pPr>
          </w:p>
        </w:tc>
        <w:tc>
          <w:tcPr>
            <w:tcW w:w="171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hideMark/>
          </w:tcPr>
          <w:p w14:paraId="69135FC6" w14:textId="77777777" w:rsidR="00E07F10" w:rsidRPr="00DC51D4" w:rsidRDefault="00E07F10" w:rsidP="00766718">
            <w:pPr>
              <w:spacing w:after="0"/>
              <w:rPr>
                <w:sz w:val="24"/>
                <w:szCs w:val="24"/>
                <w:lang w:val="en-US" w:eastAsia="ko-KR"/>
              </w:rPr>
            </w:pPr>
            <w:r w:rsidRPr="00C75FA6">
              <w:rPr>
                <w:rFonts w:ascii="Helvetica Neue" w:hAnsi="Helvetica Neue"/>
                <w:color w:val="000000"/>
                <w:sz w:val="15"/>
                <w:szCs w:val="15"/>
                <w:lang w:eastAsia="ko-KR"/>
              </w:rPr>
              <w:t>ETSI EN 301 441</w:t>
            </w:r>
            <w:r>
              <w:rPr>
                <w:rFonts w:ascii="Helvetica Neue" w:hAnsi="Helvetica Neue"/>
                <w:color w:val="000000"/>
                <w:sz w:val="15"/>
                <w:szCs w:val="15"/>
                <w:lang w:val="en-US" w:eastAsia="ko-KR"/>
              </w:rPr>
              <w:t xml:space="preserve"> </w:t>
            </w:r>
            <w:r>
              <w:rPr>
                <w:rFonts w:ascii="Helvetica Neue" w:hAnsi="Helvetica Neue"/>
                <w:color w:val="000000"/>
                <w:sz w:val="15"/>
                <w:szCs w:val="15"/>
                <w:lang w:val="en-US" w:eastAsia="ko-KR"/>
              </w:rPr>
              <w:fldChar w:fldCharType="begin"/>
            </w:r>
            <w:r>
              <w:rPr>
                <w:rFonts w:ascii="Helvetica Neue" w:hAnsi="Helvetica Neue"/>
                <w:color w:val="000000"/>
                <w:sz w:val="15"/>
                <w:szCs w:val="15"/>
                <w:lang w:val="en-US" w:eastAsia="ko-KR"/>
              </w:rPr>
              <w:instrText xml:space="preserve"> REF _Ref70004385 \r \h </w:instrText>
            </w:r>
            <w:r>
              <w:rPr>
                <w:rFonts w:ascii="Helvetica Neue" w:hAnsi="Helvetica Neue"/>
                <w:color w:val="000000"/>
                <w:sz w:val="15"/>
                <w:szCs w:val="15"/>
                <w:lang w:val="en-US" w:eastAsia="ko-KR"/>
              </w:rPr>
            </w:r>
            <w:r>
              <w:rPr>
                <w:rFonts w:ascii="Helvetica Neue" w:hAnsi="Helvetica Neue"/>
                <w:color w:val="000000"/>
                <w:sz w:val="15"/>
                <w:szCs w:val="15"/>
                <w:lang w:val="en-US" w:eastAsia="ko-KR"/>
              </w:rPr>
              <w:fldChar w:fldCharType="separate"/>
            </w:r>
            <w:r>
              <w:rPr>
                <w:rFonts w:ascii="Helvetica Neue" w:hAnsi="Helvetica Neue"/>
                <w:color w:val="000000"/>
                <w:sz w:val="15"/>
                <w:szCs w:val="15"/>
                <w:lang w:val="en-US" w:eastAsia="ko-KR"/>
              </w:rPr>
              <w:t>[12]</w:t>
            </w:r>
            <w:r>
              <w:rPr>
                <w:rFonts w:ascii="Helvetica Neue" w:hAnsi="Helvetica Neue"/>
                <w:color w:val="000000"/>
                <w:sz w:val="15"/>
                <w:szCs w:val="15"/>
                <w:lang w:val="en-US" w:eastAsia="ko-KR"/>
              </w:rPr>
              <w:fldChar w:fldCharType="end"/>
            </w:r>
          </w:p>
        </w:tc>
      </w:tr>
    </w:tbl>
    <w:p w14:paraId="78DE31C9" w14:textId="77777777" w:rsidR="00E07F10" w:rsidRDefault="00E07F10" w:rsidP="00E07F10"/>
    <w:p w14:paraId="7F28E52D" w14:textId="77777777" w:rsidR="00E07F10" w:rsidRDefault="00E07F10" w:rsidP="00E07F10">
      <w:r>
        <w:t>The FCC 47 CFR 25.216 defines out of band emission limits outside the band 1610 – 1660.5 MHz, as shown in Figure 1 below (NOTE: the frequency range 1610-1618.725 MHz is shown in blue in the figure).</w:t>
      </w:r>
    </w:p>
    <w:p w14:paraId="5EECE49C" w14:textId="77777777" w:rsidR="00E07F10" w:rsidRDefault="00E07F10" w:rsidP="00E07F10">
      <w:pPr>
        <w:jc w:val="center"/>
      </w:pPr>
      <w:r w:rsidRPr="004558D2">
        <w:rPr>
          <w:noProof/>
        </w:rPr>
        <w:drawing>
          <wp:inline distT="0" distB="0" distL="0" distR="0" wp14:anchorId="4BDC8BA4" wp14:editId="66E5E2AD">
            <wp:extent cx="2743200" cy="18287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743200" cy="1828705"/>
                    </a:xfrm>
                    <a:prstGeom prst="rect">
                      <a:avLst/>
                    </a:prstGeom>
                  </pic:spPr>
                </pic:pic>
              </a:graphicData>
            </a:graphic>
          </wp:inline>
        </w:drawing>
      </w:r>
      <w:r w:rsidRPr="00921212">
        <w:rPr>
          <w:noProof/>
        </w:rPr>
        <w:drawing>
          <wp:inline distT="0" distB="0" distL="0" distR="0" wp14:anchorId="1C35E75C" wp14:editId="5AF96619">
            <wp:extent cx="2743200" cy="2392369"/>
            <wp:effectExtent l="12700" t="12700" r="12700" b="8255"/>
            <wp:docPr id="2" name="Picture 2" descr="A picture containing text, newspaper, screenshot,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newspaper, screenshot, document&#10;&#10;Description automatically generated"/>
                    <pic:cNvPicPr/>
                  </pic:nvPicPr>
                  <pic:blipFill>
                    <a:blip r:embed="rId8"/>
                    <a:stretch>
                      <a:fillRect/>
                    </a:stretch>
                  </pic:blipFill>
                  <pic:spPr>
                    <a:xfrm>
                      <a:off x="0" y="0"/>
                      <a:ext cx="2743200" cy="2392369"/>
                    </a:xfrm>
                    <a:prstGeom prst="rect">
                      <a:avLst/>
                    </a:prstGeom>
                    <a:ln w="6350">
                      <a:solidFill>
                        <a:schemeClr val="tx1"/>
                      </a:solidFill>
                    </a:ln>
                  </pic:spPr>
                </pic:pic>
              </a:graphicData>
            </a:graphic>
          </wp:inline>
        </w:drawing>
      </w:r>
    </w:p>
    <w:p w14:paraId="410B18DA" w14:textId="77777777" w:rsidR="00E07F10" w:rsidRDefault="00E07F10" w:rsidP="00E07F10">
      <w:pPr>
        <w:pStyle w:val="TF"/>
      </w:pPr>
      <w:r>
        <w:t xml:space="preserve">Figure 1: FCC out of band emission limits applicable to UL in </w:t>
      </w:r>
      <w:r w:rsidRPr="00041E96">
        <w:t>1610-16</w:t>
      </w:r>
      <w:r>
        <w:t>60</w:t>
      </w:r>
      <w:r w:rsidRPr="00041E96">
        <w:t>.5</w:t>
      </w:r>
      <w:r>
        <w:t xml:space="preserve"> MHz [47 CFR 25.216]</w:t>
      </w:r>
    </w:p>
    <w:p w14:paraId="61C5376A" w14:textId="77777777" w:rsidR="00E07F10" w:rsidRDefault="00E07F10" w:rsidP="00E07F10">
      <w:r>
        <w:t>The FCC 47 CFR 25.202 defines an emission mask based on the bandwidth allocated within a channel.  Assuming a 5 MHz channel, the emission mask is shown in Figure 2 below.</w:t>
      </w:r>
    </w:p>
    <w:p w14:paraId="65EBBDA4" w14:textId="77777777" w:rsidR="00E07F10" w:rsidRDefault="00E07F10" w:rsidP="00E07F10">
      <w:pPr>
        <w:jc w:val="center"/>
      </w:pPr>
      <w:r w:rsidRPr="003617B4">
        <w:rPr>
          <w:noProof/>
        </w:rPr>
        <w:drawing>
          <wp:inline distT="0" distB="0" distL="0" distR="0" wp14:anchorId="2CCEB755" wp14:editId="115C0116">
            <wp:extent cx="2743200" cy="18287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43200" cy="1828705"/>
                    </a:xfrm>
                    <a:prstGeom prst="rect">
                      <a:avLst/>
                    </a:prstGeom>
                  </pic:spPr>
                </pic:pic>
              </a:graphicData>
            </a:graphic>
          </wp:inline>
        </w:drawing>
      </w:r>
      <w:r w:rsidRPr="000C3E7A">
        <w:rPr>
          <w:noProof/>
        </w:rPr>
        <w:t xml:space="preserve"> </w:t>
      </w:r>
      <w:r w:rsidRPr="000C3E7A">
        <w:rPr>
          <w:noProof/>
        </w:rPr>
        <w:drawing>
          <wp:inline distT="0" distB="0" distL="0" distR="0" wp14:anchorId="11A26E3B" wp14:editId="1F6B7A9E">
            <wp:extent cx="2743200" cy="1414422"/>
            <wp:effectExtent l="12700" t="12700" r="12700" b="8255"/>
            <wp:docPr id="16" name="Picture 1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 letter&#10;&#10;Description automatically generated"/>
                    <pic:cNvPicPr/>
                  </pic:nvPicPr>
                  <pic:blipFill>
                    <a:blip r:embed="rId10"/>
                    <a:stretch>
                      <a:fillRect/>
                    </a:stretch>
                  </pic:blipFill>
                  <pic:spPr>
                    <a:xfrm>
                      <a:off x="0" y="0"/>
                      <a:ext cx="2743200" cy="1414422"/>
                    </a:xfrm>
                    <a:prstGeom prst="rect">
                      <a:avLst/>
                    </a:prstGeom>
                    <a:ln w="6350">
                      <a:solidFill>
                        <a:schemeClr val="tx1"/>
                      </a:solidFill>
                    </a:ln>
                  </pic:spPr>
                </pic:pic>
              </a:graphicData>
            </a:graphic>
          </wp:inline>
        </w:drawing>
      </w:r>
    </w:p>
    <w:p w14:paraId="1FD71825" w14:textId="77777777" w:rsidR="00E07F10" w:rsidRDefault="00E07F10" w:rsidP="00E07F10">
      <w:pPr>
        <w:pStyle w:val="TF"/>
      </w:pPr>
      <w:r>
        <w:t xml:space="preserve">Figure 2: FCC emission mask applicable to UL in </w:t>
      </w:r>
      <w:r w:rsidRPr="00041E96">
        <w:t>1610-1626.5</w:t>
      </w:r>
      <w:r>
        <w:t xml:space="preserve"> MHz [47 CFR 25.202] </w:t>
      </w:r>
    </w:p>
    <w:p w14:paraId="19C5F592" w14:textId="77777777" w:rsidR="00E07F10" w:rsidRDefault="00E07F10" w:rsidP="00E07F10">
      <w:r>
        <w:lastRenderedPageBreak/>
        <w:t>The ETSI EN 301 441 harmonized standard defines out of band emission limits outside the band 1610 – 1626.5 MHz, as shown in Figure 3 below (NOTE: the frequency range 1610-1618.725 MHz is shown in blue in the figure).</w:t>
      </w:r>
    </w:p>
    <w:p w14:paraId="5A6AA95F" w14:textId="77777777" w:rsidR="00E07F10" w:rsidRDefault="00E07F10" w:rsidP="00E07F10">
      <w:pPr>
        <w:jc w:val="center"/>
      </w:pPr>
      <w:r w:rsidRPr="004558D2">
        <w:rPr>
          <w:noProof/>
        </w:rPr>
        <w:drawing>
          <wp:inline distT="0" distB="0" distL="0" distR="0" wp14:anchorId="794BC72D" wp14:editId="6B2509FF">
            <wp:extent cx="2743200" cy="18287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3200" cy="1828705"/>
                    </a:xfrm>
                    <a:prstGeom prst="rect">
                      <a:avLst/>
                    </a:prstGeom>
                  </pic:spPr>
                </pic:pic>
              </a:graphicData>
            </a:graphic>
          </wp:inline>
        </w:drawing>
      </w:r>
      <w:r w:rsidRPr="00082E2A">
        <w:rPr>
          <w:noProof/>
        </w:rPr>
        <w:drawing>
          <wp:inline distT="0" distB="0" distL="0" distR="0" wp14:anchorId="06FD7733" wp14:editId="44D280DF">
            <wp:extent cx="2743200" cy="1481573"/>
            <wp:effectExtent l="12700" t="12700" r="12700" b="17145"/>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12"/>
                    <a:stretch>
                      <a:fillRect/>
                    </a:stretch>
                  </pic:blipFill>
                  <pic:spPr>
                    <a:xfrm>
                      <a:off x="0" y="0"/>
                      <a:ext cx="2743200" cy="1481573"/>
                    </a:xfrm>
                    <a:prstGeom prst="rect">
                      <a:avLst/>
                    </a:prstGeom>
                    <a:ln w="6350">
                      <a:solidFill>
                        <a:schemeClr val="tx1"/>
                      </a:solidFill>
                    </a:ln>
                  </pic:spPr>
                </pic:pic>
              </a:graphicData>
            </a:graphic>
          </wp:inline>
        </w:drawing>
      </w:r>
    </w:p>
    <w:p w14:paraId="48F0785A" w14:textId="77777777" w:rsidR="00E07F10" w:rsidRDefault="00E07F10" w:rsidP="00E07F10">
      <w:pPr>
        <w:pStyle w:val="TF"/>
      </w:pPr>
      <w:r>
        <w:t xml:space="preserve">Figure 3: ETSI out of band emission limits applicable to UL in </w:t>
      </w:r>
      <w:r w:rsidRPr="00041E96">
        <w:t>1610-1626.5</w:t>
      </w:r>
      <w:r>
        <w:t xml:space="preserve"> MHz</w:t>
      </w:r>
    </w:p>
    <w:p w14:paraId="4C46028A" w14:textId="77777777" w:rsidR="00E07F10" w:rsidRDefault="00E07F10" w:rsidP="00E07F10">
      <w:r>
        <w:t>Additionally, ETSI defines two emission masks, applicable depending on the allocated UL frequency range.  Figure 4 below illustrates these requirements, assuming a 5 MHz channel.</w:t>
      </w:r>
    </w:p>
    <w:p w14:paraId="34DC4CEA" w14:textId="77777777" w:rsidR="00E07F10" w:rsidRDefault="00E07F10" w:rsidP="00E07F10">
      <w:pPr>
        <w:jc w:val="center"/>
      </w:pPr>
      <w:r>
        <w:t>a)</w:t>
      </w:r>
      <w:r w:rsidRPr="00222FBD">
        <w:rPr>
          <w:noProof/>
        </w:rPr>
        <w:t xml:space="preserve"> </w:t>
      </w:r>
      <w:r w:rsidRPr="00082E2A">
        <w:rPr>
          <w:noProof/>
        </w:rPr>
        <w:t xml:space="preserve"> </w:t>
      </w:r>
      <w:r w:rsidRPr="00082E2A">
        <w:rPr>
          <w:noProof/>
        </w:rPr>
        <w:drawing>
          <wp:inline distT="0" distB="0" distL="0" distR="0" wp14:anchorId="5AA6BE55" wp14:editId="49E09C1E">
            <wp:extent cx="0" cy="0"/>
            <wp:effectExtent l="0" t="0" r="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13"/>
                    <a:stretch>
                      <a:fillRect/>
                    </a:stretch>
                  </pic:blipFill>
                  <pic:spPr>
                    <a:xfrm>
                      <a:off x="0" y="0"/>
                      <a:ext cx="0" cy="0"/>
                    </a:xfrm>
                    <a:prstGeom prst="rect">
                      <a:avLst/>
                    </a:prstGeom>
                  </pic:spPr>
                </pic:pic>
              </a:graphicData>
            </a:graphic>
          </wp:inline>
        </w:drawing>
      </w:r>
      <w:r w:rsidRPr="00082E2A">
        <w:rPr>
          <w:noProof/>
        </w:rPr>
        <w:t xml:space="preserve"> </w:t>
      </w:r>
      <w:r w:rsidRPr="00BB1325">
        <w:rPr>
          <w:noProof/>
        </w:rPr>
        <w:drawing>
          <wp:inline distT="0" distB="0" distL="0" distR="0" wp14:anchorId="48D2118D" wp14:editId="3DF82238">
            <wp:extent cx="2743200" cy="18287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43200" cy="1828705"/>
                    </a:xfrm>
                    <a:prstGeom prst="rect">
                      <a:avLst/>
                    </a:prstGeom>
                  </pic:spPr>
                </pic:pic>
              </a:graphicData>
            </a:graphic>
          </wp:inline>
        </w:drawing>
      </w:r>
      <w:r w:rsidRPr="00082E2A">
        <w:rPr>
          <w:noProof/>
        </w:rPr>
        <w:drawing>
          <wp:inline distT="0" distB="0" distL="0" distR="0" wp14:anchorId="73458992" wp14:editId="4DBB8DF7">
            <wp:extent cx="2743200" cy="1438608"/>
            <wp:effectExtent l="0" t="0" r="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15"/>
                    <a:stretch>
                      <a:fillRect/>
                    </a:stretch>
                  </pic:blipFill>
                  <pic:spPr>
                    <a:xfrm>
                      <a:off x="0" y="0"/>
                      <a:ext cx="2743200" cy="1438608"/>
                    </a:xfrm>
                    <a:prstGeom prst="rect">
                      <a:avLst/>
                    </a:prstGeom>
                  </pic:spPr>
                </pic:pic>
              </a:graphicData>
            </a:graphic>
          </wp:inline>
        </w:drawing>
      </w:r>
    </w:p>
    <w:p w14:paraId="027F6C40" w14:textId="77777777" w:rsidR="00E07F10" w:rsidRDefault="00E07F10" w:rsidP="00E07F10">
      <w:pPr>
        <w:jc w:val="center"/>
      </w:pPr>
      <w:r>
        <w:t>b)</w:t>
      </w:r>
      <w:r w:rsidRPr="00951466">
        <w:rPr>
          <w:noProof/>
        </w:rPr>
        <w:t xml:space="preserve"> </w:t>
      </w:r>
      <w:r w:rsidRPr="00BB1325">
        <w:rPr>
          <w:noProof/>
        </w:rPr>
        <w:drawing>
          <wp:inline distT="0" distB="0" distL="0" distR="0" wp14:anchorId="2F42142C" wp14:editId="150CB4DA">
            <wp:extent cx="2743200" cy="18287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43200" cy="1828705"/>
                    </a:xfrm>
                    <a:prstGeom prst="rect">
                      <a:avLst/>
                    </a:prstGeom>
                  </pic:spPr>
                </pic:pic>
              </a:graphicData>
            </a:graphic>
          </wp:inline>
        </w:drawing>
      </w:r>
      <w:r w:rsidRPr="00082E2A">
        <w:rPr>
          <w:noProof/>
        </w:rPr>
        <w:t xml:space="preserve"> </w:t>
      </w:r>
      <w:r w:rsidRPr="00082E2A">
        <w:rPr>
          <w:noProof/>
        </w:rPr>
        <w:drawing>
          <wp:inline distT="0" distB="0" distL="0" distR="0" wp14:anchorId="2382D302" wp14:editId="6CE5B5F6">
            <wp:extent cx="2743200" cy="1244271"/>
            <wp:effectExtent l="0" t="0" r="0" b="635"/>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17"/>
                    <a:stretch>
                      <a:fillRect/>
                    </a:stretch>
                  </pic:blipFill>
                  <pic:spPr>
                    <a:xfrm>
                      <a:off x="0" y="0"/>
                      <a:ext cx="2743200" cy="1244271"/>
                    </a:xfrm>
                    <a:prstGeom prst="rect">
                      <a:avLst/>
                    </a:prstGeom>
                  </pic:spPr>
                </pic:pic>
              </a:graphicData>
            </a:graphic>
          </wp:inline>
        </w:drawing>
      </w:r>
    </w:p>
    <w:p w14:paraId="6D689269" w14:textId="77777777" w:rsidR="00E07F10" w:rsidRDefault="00E07F10" w:rsidP="00E07F10">
      <w:pPr>
        <w:pStyle w:val="TF"/>
      </w:pPr>
      <w:r>
        <w:t xml:space="preserve">Figure 4: ETSI out of band emission masks applicable to: a) </w:t>
      </w:r>
      <w:r w:rsidRPr="0058263E">
        <w:t>UL channel entirely or partially contained in the frequency band 1618.25 - 1626.5 MHz</w:t>
      </w:r>
      <w:r>
        <w:t xml:space="preserve">; b) </w:t>
      </w:r>
      <w:r w:rsidRPr="0058263E">
        <w:t>UL channel entirely contained in the frequency band 1610 – 1618.25 MHz</w:t>
      </w:r>
    </w:p>
    <w:p w14:paraId="5FC5CB11" w14:textId="77777777" w:rsidR="00E07F10" w:rsidRDefault="00E07F10" w:rsidP="00E07F10">
      <w:r>
        <w:t>When adding this band to the NTN band plan, 3GPP should discuss how to incorporate the regulatory emission requirements into the RF requirements specification.</w:t>
      </w:r>
    </w:p>
    <w:p w14:paraId="420C44EF" w14:textId="77777777" w:rsidR="00E07F10" w:rsidRPr="00C502D0" w:rsidRDefault="00E07F10" w:rsidP="00E07F10">
      <w:pPr>
        <w:pStyle w:val="Observation"/>
      </w:pPr>
      <w:r w:rsidRPr="00C502D0">
        <w:t xml:space="preserve">Observation </w:t>
      </w:r>
      <w:r>
        <w:t>2</w:t>
      </w:r>
      <w:r w:rsidRPr="00C502D0">
        <w:t>:</w:t>
      </w:r>
      <w:r w:rsidRPr="00C502D0">
        <w:tab/>
      </w:r>
      <w:r>
        <w:t>If 3GPP adopts the FCC emission mask as the general requirement, then additional emission requirements associated with Region 1 need to be specified.</w:t>
      </w:r>
    </w:p>
    <w:p w14:paraId="6BBD6508" w14:textId="77777777" w:rsidR="00E07F10" w:rsidRDefault="00E07F10" w:rsidP="00E07F10">
      <w:pPr>
        <w:rPr>
          <w:noProof/>
        </w:rPr>
      </w:pPr>
      <w:r>
        <w:t xml:space="preserve">The ETSI harmonized standard also defines regulatory requirements related to DL reception in the </w:t>
      </w:r>
      <w:r w:rsidRPr="002E4361">
        <w:t>2483.5 – 2500</w:t>
      </w:r>
      <w:r>
        <w:t xml:space="preserve"> MHz frequency range: these requirements include adjacent channel selectivity and narrow-band blocking (Figures 5 and 6).</w:t>
      </w:r>
    </w:p>
    <w:p w14:paraId="5BD9C670" w14:textId="77777777" w:rsidR="00E07F10" w:rsidRDefault="00E07F10" w:rsidP="00E07F10">
      <w:pPr>
        <w:jc w:val="center"/>
      </w:pPr>
      <w:r w:rsidRPr="00553330">
        <w:rPr>
          <w:noProof/>
        </w:rPr>
        <w:lastRenderedPageBreak/>
        <w:drawing>
          <wp:inline distT="0" distB="0" distL="0" distR="0" wp14:anchorId="43828E16" wp14:editId="0291B53E">
            <wp:extent cx="2743200" cy="13825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43200" cy="1382555"/>
                    </a:xfrm>
                    <a:prstGeom prst="rect">
                      <a:avLst/>
                    </a:prstGeom>
                  </pic:spPr>
                </pic:pic>
              </a:graphicData>
            </a:graphic>
          </wp:inline>
        </w:drawing>
      </w:r>
      <w:r w:rsidRPr="00BF64A6">
        <w:rPr>
          <w:noProof/>
        </w:rPr>
        <w:drawing>
          <wp:inline distT="0" distB="0" distL="0" distR="0" wp14:anchorId="2AE2B76F" wp14:editId="56A3E1BC">
            <wp:extent cx="2743200" cy="1496084"/>
            <wp:effectExtent l="12700" t="12700" r="12700" b="15240"/>
            <wp:docPr id="10"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19"/>
                    <a:stretch>
                      <a:fillRect/>
                    </a:stretch>
                  </pic:blipFill>
                  <pic:spPr>
                    <a:xfrm>
                      <a:off x="0" y="0"/>
                      <a:ext cx="2743200" cy="1496084"/>
                    </a:xfrm>
                    <a:prstGeom prst="rect">
                      <a:avLst/>
                    </a:prstGeom>
                    <a:ln w="6350">
                      <a:solidFill>
                        <a:schemeClr val="tx1"/>
                      </a:solidFill>
                    </a:ln>
                  </pic:spPr>
                </pic:pic>
              </a:graphicData>
            </a:graphic>
          </wp:inline>
        </w:drawing>
      </w:r>
    </w:p>
    <w:p w14:paraId="4C9E8B22" w14:textId="77777777" w:rsidR="00E07F10" w:rsidRDefault="00E07F10" w:rsidP="00E07F10">
      <w:pPr>
        <w:pStyle w:val="TF"/>
      </w:pPr>
      <w:r>
        <w:t xml:space="preserve">Figure 5: ETSI ACS requirements applicable to DL reception in the </w:t>
      </w:r>
      <w:r w:rsidRPr="002E4361">
        <w:t>2483.5 – 2500</w:t>
      </w:r>
      <w:r>
        <w:t xml:space="preserve"> MHz frequency range</w:t>
      </w:r>
    </w:p>
    <w:p w14:paraId="794C6606" w14:textId="77777777" w:rsidR="00E07F10" w:rsidRDefault="00E07F10" w:rsidP="00E07F10"/>
    <w:p w14:paraId="02F2E9BF" w14:textId="77777777" w:rsidR="00E07F10" w:rsidRDefault="00E07F10" w:rsidP="00E07F10">
      <w:pPr>
        <w:jc w:val="center"/>
      </w:pPr>
      <w:r w:rsidRPr="0057727D">
        <w:rPr>
          <w:noProof/>
        </w:rPr>
        <w:drawing>
          <wp:inline distT="0" distB="0" distL="0" distR="0" wp14:anchorId="6817D3EB" wp14:editId="7529CA6A">
            <wp:extent cx="2743200" cy="1536203"/>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3200" cy="1536203"/>
                    </a:xfrm>
                    <a:prstGeom prst="rect">
                      <a:avLst/>
                    </a:prstGeom>
                  </pic:spPr>
                </pic:pic>
              </a:graphicData>
            </a:graphic>
          </wp:inline>
        </w:drawing>
      </w:r>
      <w:r w:rsidRPr="00BF64A6">
        <w:rPr>
          <w:noProof/>
        </w:rPr>
        <w:drawing>
          <wp:inline distT="0" distB="0" distL="0" distR="0" wp14:anchorId="5F4741DC" wp14:editId="4BB690C7">
            <wp:extent cx="2743200" cy="1807365"/>
            <wp:effectExtent l="12700" t="12700" r="12700" b="8890"/>
            <wp:docPr id="11" name="Picture 1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10;&#10;Description automatically generated"/>
                    <pic:cNvPicPr/>
                  </pic:nvPicPr>
                  <pic:blipFill>
                    <a:blip r:embed="rId21"/>
                    <a:stretch>
                      <a:fillRect/>
                    </a:stretch>
                  </pic:blipFill>
                  <pic:spPr>
                    <a:xfrm>
                      <a:off x="0" y="0"/>
                      <a:ext cx="2743200" cy="1807365"/>
                    </a:xfrm>
                    <a:prstGeom prst="rect">
                      <a:avLst/>
                    </a:prstGeom>
                    <a:ln w="6350">
                      <a:solidFill>
                        <a:schemeClr val="tx1"/>
                      </a:solidFill>
                    </a:ln>
                  </pic:spPr>
                </pic:pic>
              </a:graphicData>
            </a:graphic>
          </wp:inline>
        </w:drawing>
      </w:r>
    </w:p>
    <w:p w14:paraId="3BFDF7B7" w14:textId="77777777" w:rsidR="00E07F10" w:rsidRDefault="00E07F10" w:rsidP="00E07F10">
      <w:pPr>
        <w:pStyle w:val="TF"/>
      </w:pPr>
      <w:r>
        <w:t xml:space="preserve">Figure 6: ETSI blocking requirements applicable to DL reception in the </w:t>
      </w:r>
      <w:r w:rsidRPr="002E4361">
        <w:t>2483.5 – 2500</w:t>
      </w:r>
      <w:r>
        <w:t xml:space="preserve"> MHz frequency range</w:t>
      </w:r>
    </w:p>
    <w:p w14:paraId="1914EB38" w14:textId="77777777" w:rsidR="00E07F10" w:rsidRDefault="00E07F10" w:rsidP="00E07F10">
      <w:r>
        <w:t>3GPP requirements on ACS and narrow-band blocking should take the ETSI regulation into account.  The typical process for 3GPP to define these requirements is by performing a system level simulation campaign and to derive the ACS parameter from these results.  Similarly, parameters associated with narrow-band blocking requirements (such as frequency offset, interferer level, and allowed REFSENS degradation) follow certain pre-established criteria.  If 3GPP, in the process of deriving ACS and blocking requirements, defines a less stringent general requirement, then ways to apply additional regional requirements for ACS and/or blocking should be discussed.</w:t>
      </w:r>
    </w:p>
    <w:p w14:paraId="5290959D" w14:textId="77777777" w:rsidR="00E07F10" w:rsidRPr="00C502D0" w:rsidRDefault="00E07F10" w:rsidP="00E07F10">
      <w:pPr>
        <w:pStyle w:val="Proposal"/>
      </w:pPr>
      <w:r>
        <w:t>Proposal 3:</w:t>
      </w:r>
      <w:r>
        <w:tab/>
        <w:t xml:space="preserve">3GPP should take the relevant FCC and ETSI regulation into account when defining Tx and Rx NTN requirements for </w:t>
      </w:r>
      <w:r w:rsidRPr="00573901">
        <w:t xml:space="preserve">the pairing of 1610 - </w:t>
      </w:r>
      <w:r>
        <w:t>1618.725</w:t>
      </w:r>
      <w:r w:rsidRPr="00573901">
        <w:t xml:space="preserve"> MHz UL and 2483.5 – 2500 MHz DL.</w:t>
      </w:r>
    </w:p>
    <w:p w14:paraId="0FC892D0" w14:textId="77777777" w:rsidR="00E07F10" w:rsidRDefault="00E07F10" w:rsidP="00E07F10">
      <w:pPr>
        <w:pStyle w:val="Heading2"/>
      </w:pPr>
      <w:r>
        <w:t>2.3</w:t>
      </w:r>
      <w:r>
        <w:tab/>
        <w:t>System parameters</w:t>
      </w:r>
    </w:p>
    <w:p w14:paraId="1CB4E2D2" w14:textId="77777777" w:rsidR="00E07F10" w:rsidRDefault="00E07F10" w:rsidP="00E07F10">
      <w:r>
        <w:t xml:space="preserve">Both L-band and S-band are fully contained within the existing 3GPP FR1 frequency range, and thus they inherit </w:t>
      </w:r>
      <w:proofErr w:type="gramStart"/>
      <w:r>
        <w:t>all of</w:t>
      </w:r>
      <w:proofErr w:type="gramEnd"/>
      <w:r>
        <w:t xml:space="preserve"> the major principles and system level parameters of FR1, such as SCS, channel bandwidth, channel and sync raster, etc. As </w:t>
      </w:r>
      <w:proofErr w:type="gramStart"/>
      <w:r>
        <w:t>agreed</w:t>
      </w:r>
      <w:proofErr w:type="gramEnd"/>
      <w:r>
        <w:t xml:space="preserve"> in </w:t>
      </w:r>
      <w:r>
        <w:fldChar w:fldCharType="begin"/>
      </w:r>
      <w:r>
        <w:instrText xml:space="preserve"> REF _Ref70001827 \r \h </w:instrText>
      </w:r>
      <w:r>
        <w:fldChar w:fldCharType="separate"/>
      </w:r>
      <w:r>
        <w:t>[9]</w:t>
      </w:r>
      <w:r>
        <w:fldChar w:fldCharType="end"/>
      </w:r>
      <w:r>
        <w:t xml:space="preserve">, UL channel bandwidth of 5 MHz and DL channel bandwidths of 5, 10, and 15 MHz are applicable to the pairing of </w:t>
      </w:r>
      <w:r w:rsidRPr="00AB46D5">
        <w:t xml:space="preserve">1610 - </w:t>
      </w:r>
      <w:r>
        <w:t xml:space="preserve">1618.725 MHz UL and </w:t>
      </w:r>
      <w:r w:rsidRPr="00AB46D5">
        <w:t xml:space="preserve">2483.5 </w:t>
      </w:r>
      <w:r>
        <w:t>–</w:t>
      </w:r>
      <w:r w:rsidRPr="00AB46D5">
        <w:t xml:space="preserve"> 2500</w:t>
      </w:r>
      <w:r>
        <w:t xml:space="preserve"> MHz DL.  This can potentially result in an asymmetric definition of UL/DL channels.</w:t>
      </w:r>
    </w:p>
    <w:p w14:paraId="626E6109" w14:textId="77777777" w:rsidR="00E07F10" w:rsidRDefault="00E07F10" w:rsidP="00E07F10">
      <w:pPr>
        <w:pStyle w:val="Observation"/>
      </w:pPr>
      <w:r>
        <w:t>Observation 3:</w:t>
      </w:r>
      <w:r>
        <w:tab/>
        <w:t xml:space="preserve">NR UL channel bandwidth of 5 MHz and NR DL channel bandwidths of 5, 10, and 15 MHz are </w:t>
      </w:r>
      <w:r w:rsidRPr="008B42D5">
        <w:t xml:space="preserve">applicable to the pairing of 1610 - </w:t>
      </w:r>
      <w:r>
        <w:t>1618.725</w:t>
      </w:r>
      <w:r w:rsidRPr="008B42D5">
        <w:t xml:space="preserve"> MHz UL and 2483.5 – 2500 MHz DL</w:t>
      </w:r>
    </w:p>
    <w:p w14:paraId="3F8D92CD" w14:textId="77777777" w:rsidR="00E07F10" w:rsidRDefault="00E07F10" w:rsidP="00E07F10">
      <w:r>
        <w:t>The total available UL and DL channel bandwidths of the proposed band plan in Table 2 (8.725 MHz and 16.5 MHz, respectively) do not correspond to the NR standard channels. The simplest approach is to use the next smaller NR standard channel size (which will of course result in worse spectrum utilisation).</w:t>
      </w:r>
    </w:p>
    <w:p w14:paraId="354597F8" w14:textId="77777777" w:rsidR="00E07F10" w:rsidRDefault="00E07F10" w:rsidP="00E07F10">
      <w:r>
        <w:t>It is of interest to consider better spectrum utilisation and to leverage the ongoing SI on "</w:t>
      </w:r>
      <w:r w:rsidRPr="00AA0ED9">
        <w:t>Efficient utilization of licensed spectrum that is not aligned with existing NR channel bandwidths</w:t>
      </w:r>
      <w:r>
        <w:t>" (</w:t>
      </w:r>
      <w:proofErr w:type="spellStart"/>
      <w:r w:rsidRPr="00AA0ED9">
        <w:t>FS_NR_</w:t>
      </w:r>
      <w:proofErr w:type="gramStart"/>
      <w:r w:rsidRPr="00AA0ED9">
        <w:t>eff</w:t>
      </w:r>
      <w:proofErr w:type="gramEnd"/>
      <w:r w:rsidRPr="00AA0ED9">
        <w:t>_BW_util</w:t>
      </w:r>
      <w:proofErr w:type="spellEnd"/>
      <w:r>
        <w:t xml:space="preserve">), the outcome of which aims at studying and developing the corresponding solutions. It bears mentioning that 7MHz is already in the scope of that SI, whereas other non-standard channel bandwidths </w:t>
      </w:r>
      <w:proofErr w:type="gramStart"/>
      <w:r>
        <w:t>have to</w:t>
      </w:r>
      <w:proofErr w:type="gramEnd"/>
      <w:r>
        <w:t xml:space="preserve"> be explicitly added into that SI. </w:t>
      </w:r>
    </w:p>
    <w:p w14:paraId="49E3C23C" w14:textId="77777777" w:rsidR="00E07F10" w:rsidRPr="00C502D0" w:rsidRDefault="00E07F10" w:rsidP="00E07F10">
      <w:pPr>
        <w:pStyle w:val="Observation"/>
      </w:pPr>
      <w:r w:rsidRPr="00C502D0">
        <w:lastRenderedPageBreak/>
        <w:t xml:space="preserve">Observation </w:t>
      </w:r>
      <w:r>
        <w:t>4</w:t>
      </w:r>
      <w:r w:rsidRPr="00C502D0">
        <w:t>:</w:t>
      </w:r>
      <w:r w:rsidRPr="00C502D0">
        <w:tab/>
      </w:r>
      <w:r>
        <w:t xml:space="preserve">If there is an interest in improving spectrum utilisation of non-standard satellite allocations, then the corresponding work should be added into the scope of existing SI </w:t>
      </w:r>
      <w:r w:rsidRPr="00A93416">
        <w:t>on "Efficient utilization of licensed spectrum that is not aligned with existing NR channel bandwidths" (</w:t>
      </w:r>
      <w:proofErr w:type="spellStart"/>
      <w:r w:rsidRPr="00A93416">
        <w:t>FS_NR_</w:t>
      </w:r>
      <w:proofErr w:type="gramStart"/>
      <w:r w:rsidRPr="00A93416">
        <w:t>eff</w:t>
      </w:r>
      <w:proofErr w:type="gramEnd"/>
      <w:r w:rsidRPr="00A93416">
        <w:t>_BW_util</w:t>
      </w:r>
      <w:proofErr w:type="spellEnd"/>
      <w:r w:rsidRPr="00A93416">
        <w:t>)</w:t>
      </w:r>
      <w:r w:rsidRPr="00C502D0">
        <w:t>.</w:t>
      </w:r>
    </w:p>
    <w:p w14:paraId="419F5A07" w14:textId="77777777" w:rsidR="00E07F10" w:rsidRDefault="00E07F10" w:rsidP="00E07F10"/>
    <w:bookmarkEnd w:id="0"/>
    <w:p w14:paraId="194D9D68" w14:textId="77777777" w:rsidR="00E07F10" w:rsidRDefault="00E07F10" w:rsidP="00E07F10">
      <w:pPr>
        <w:pStyle w:val="Heading1"/>
      </w:pPr>
      <w:r>
        <w:t>3</w:t>
      </w:r>
      <w:r>
        <w:tab/>
        <w:t>Conclusions</w:t>
      </w:r>
    </w:p>
    <w:p w14:paraId="519C509C" w14:textId="77777777" w:rsidR="00E07F10" w:rsidRDefault="00E07F10" w:rsidP="00E07F10">
      <w:pPr>
        <w:pStyle w:val="EX"/>
        <w:numPr>
          <w:ilvl w:val="0"/>
          <w:numId w:val="0"/>
        </w:numPr>
      </w:pPr>
      <w:r>
        <w:t xml:space="preserve">In this contribution we provided a global mobile satellite service band plan pairing the </w:t>
      </w:r>
      <w:r w:rsidRPr="00837A66">
        <w:t xml:space="preserve">1610 - </w:t>
      </w:r>
      <w:r w:rsidRPr="003F1B6F">
        <w:t>1618.725</w:t>
      </w:r>
      <w:r w:rsidRPr="00837A66">
        <w:t xml:space="preserve"> MHz UL and 2483.5 – 2500 MHz DL </w:t>
      </w:r>
      <w:r>
        <w:t>frequency ranges within the L-band and S-band respectively; we described the relevant regulatory requirements; and we identified several aspects related to system parameters relevant to this band plan.</w:t>
      </w:r>
    </w:p>
    <w:p w14:paraId="74CD427E" w14:textId="77777777" w:rsidR="00E07F10" w:rsidRDefault="00E07F10" w:rsidP="00E07F10">
      <w:pPr>
        <w:pStyle w:val="Proposal"/>
      </w:pPr>
      <w:r>
        <w:t>Proposal 1:</w:t>
      </w:r>
      <w:r>
        <w:tab/>
        <w:t>RAN4 shall also consider the mixed pairing of (L-band) and (S-band) in the related NTN work item.</w:t>
      </w:r>
    </w:p>
    <w:p w14:paraId="017CC31B" w14:textId="77777777" w:rsidR="00E07F10" w:rsidRDefault="00E07F10" w:rsidP="00E07F10">
      <w:pPr>
        <w:pStyle w:val="Proposal"/>
      </w:pPr>
      <w:r>
        <w:t>Proposal 2:</w:t>
      </w:r>
      <w:r>
        <w:tab/>
        <w:t xml:space="preserve">RAN4 shall also consider the pairing of </w:t>
      </w:r>
      <w:r w:rsidRPr="00E17180">
        <w:t xml:space="preserve">1610 - </w:t>
      </w:r>
      <w:r>
        <w:t>1618.725</w:t>
      </w:r>
      <w:r w:rsidRPr="00E17180">
        <w:t xml:space="preserve"> MHz UL </w:t>
      </w:r>
      <w:r>
        <w:t xml:space="preserve">(L-band) </w:t>
      </w:r>
      <w:r w:rsidRPr="00E17180">
        <w:t>and 2483.5 – 2500 MHz DL</w:t>
      </w:r>
      <w:r>
        <w:t xml:space="preserve"> (S-band) in the related NTN work item.</w:t>
      </w:r>
    </w:p>
    <w:p w14:paraId="2A558281" w14:textId="77777777" w:rsidR="00E07F10" w:rsidRPr="00C502D0" w:rsidRDefault="00E07F10" w:rsidP="00E07F10">
      <w:pPr>
        <w:pStyle w:val="Proposal"/>
      </w:pPr>
      <w:r>
        <w:t>Proposal 3:</w:t>
      </w:r>
      <w:r>
        <w:tab/>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2D7C6256" w14:textId="77777777" w:rsidR="00E07F10" w:rsidRPr="003A0483" w:rsidRDefault="00E07F10" w:rsidP="00E07F10">
      <w:pPr>
        <w:pStyle w:val="Heading1"/>
      </w:pPr>
      <w:r>
        <w:t>4</w:t>
      </w:r>
      <w:r>
        <w:tab/>
        <w:t>References</w:t>
      </w:r>
    </w:p>
    <w:p w14:paraId="17D5498F" w14:textId="77777777" w:rsidR="00E07F10" w:rsidRPr="004D3578" w:rsidRDefault="00E07F10" w:rsidP="00E07F10">
      <w:pPr>
        <w:pStyle w:val="EX"/>
      </w:pPr>
      <w:bookmarkStart w:id="1" w:name="_Ref13820109"/>
      <w:r w:rsidRPr="00804854">
        <w:t>RP-193234</w:t>
      </w:r>
      <w:r>
        <w:t>, "</w:t>
      </w:r>
      <w:r w:rsidRPr="00804854">
        <w:t>Solutions for NR to support non-terrestrial networks (NTN)</w:t>
      </w:r>
      <w:r>
        <w:t>", Thales</w:t>
      </w:r>
      <w:bookmarkEnd w:id="1"/>
    </w:p>
    <w:p w14:paraId="6C73B9A4" w14:textId="77777777" w:rsidR="00E07F10" w:rsidRDefault="00E07F10" w:rsidP="00E07F10">
      <w:pPr>
        <w:pStyle w:val="EX"/>
      </w:pPr>
      <w:bookmarkStart w:id="2" w:name="_Ref67165788"/>
      <w:r w:rsidRPr="00804854">
        <w:t>R4-2101813</w:t>
      </w:r>
      <w:r>
        <w:t>, "</w:t>
      </w:r>
      <w:r w:rsidRPr="00804854">
        <w:t>Discussion on exemplary bands for NTN topic</w:t>
      </w:r>
      <w:r>
        <w:t>", Huawei, HiSilicon</w:t>
      </w:r>
      <w:bookmarkEnd w:id="2"/>
    </w:p>
    <w:p w14:paraId="2EA5C419" w14:textId="77777777" w:rsidR="00E07F10" w:rsidRDefault="00E07F10" w:rsidP="00E07F10">
      <w:pPr>
        <w:pStyle w:val="EX"/>
      </w:pPr>
      <w:r w:rsidRPr="00804854">
        <w:t>R4-2100399</w:t>
      </w:r>
      <w:r>
        <w:t>, "</w:t>
      </w:r>
      <w:r w:rsidRPr="00804854">
        <w:t>Discussion on frequency band and scenarios for NTN</w:t>
      </w:r>
      <w:r>
        <w:t>", CATT</w:t>
      </w:r>
    </w:p>
    <w:p w14:paraId="2860CA86" w14:textId="77777777" w:rsidR="00E07F10" w:rsidRDefault="00E07F10" w:rsidP="00E07F10">
      <w:pPr>
        <w:pStyle w:val="EX"/>
      </w:pPr>
      <w:r w:rsidRPr="00804854">
        <w:t>R4-2100824</w:t>
      </w:r>
      <w:r>
        <w:t>, "</w:t>
      </w:r>
      <w:r w:rsidRPr="00804854">
        <w:t>Ex</w:t>
      </w:r>
      <w:r>
        <w:t>e</w:t>
      </w:r>
      <w:r w:rsidRPr="00804854">
        <w:t>mplary bands for NTN</w:t>
      </w:r>
      <w:r>
        <w:t>", CMCC</w:t>
      </w:r>
    </w:p>
    <w:p w14:paraId="24464F8C" w14:textId="77777777" w:rsidR="00E07F10" w:rsidRDefault="00E07F10" w:rsidP="00E07F10">
      <w:pPr>
        <w:pStyle w:val="EX"/>
      </w:pPr>
      <w:r w:rsidRPr="00804854">
        <w:t>R4-2100905</w:t>
      </w:r>
      <w:r>
        <w:t>, "</w:t>
      </w:r>
      <w:r w:rsidRPr="00804854">
        <w:t>Views on NTN exemplary bands</w:t>
      </w:r>
      <w:r>
        <w:t>", Samsung</w:t>
      </w:r>
    </w:p>
    <w:p w14:paraId="386671AC" w14:textId="77777777" w:rsidR="00E07F10" w:rsidRDefault="00E07F10" w:rsidP="00E07F10">
      <w:pPr>
        <w:pStyle w:val="EX"/>
      </w:pPr>
      <w:r w:rsidRPr="00804854">
        <w:t>R4-2101858</w:t>
      </w:r>
      <w:r>
        <w:t>, "</w:t>
      </w:r>
      <w:r w:rsidRPr="00804854">
        <w:t>Criteria for Choosing FR1 Exemplary Band</w:t>
      </w:r>
      <w:r>
        <w:t>", Thales</w:t>
      </w:r>
    </w:p>
    <w:p w14:paraId="4D2395B8" w14:textId="77777777" w:rsidR="00E07F10" w:rsidRDefault="00E07F10" w:rsidP="00E07F10">
      <w:pPr>
        <w:pStyle w:val="EX"/>
      </w:pPr>
      <w:r w:rsidRPr="00804854">
        <w:t>R4-2102173</w:t>
      </w:r>
      <w:r>
        <w:t>, "</w:t>
      </w:r>
      <w:r w:rsidRPr="00804854">
        <w:t>NTN - Regulatory and spectrum aspects</w:t>
      </w:r>
      <w:r>
        <w:t>", Ericsson</w:t>
      </w:r>
    </w:p>
    <w:p w14:paraId="6933A38F" w14:textId="77777777" w:rsidR="00E07F10" w:rsidRDefault="00E07F10" w:rsidP="00E07F10">
      <w:pPr>
        <w:pStyle w:val="EX"/>
      </w:pPr>
      <w:bookmarkStart w:id="3" w:name="_Ref67165795"/>
      <w:r w:rsidRPr="00804854">
        <w:t>R4-2102374</w:t>
      </w:r>
      <w:r>
        <w:t>, "</w:t>
      </w:r>
      <w:r w:rsidRPr="00804854">
        <w:t>Discussion on satellite bands outside FR1/FR2 range for NR based satellite networks</w:t>
      </w:r>
      <w:r>
        <w:t xml:space="preserve">", </w:t>
      </w:r>
      <w:r w:rsidRPr="00804854">
        <w:t>HUGHES Network Systems, Thales, Inmarsat, Intelsat, Fraunhofer, ESA</w:t>
      </w:r>
      <w:bookmarkEnd w:id="3"/>
    </w:p>
    <w:p w14:paraId="7D169E7B" w14:textId="77777777" w:rsidR="00E07F10" w:rsidRDefault="00E07F10" w:rsidP="00E07F10">
      <w:pPr>
        <w:pStyle w:val="EX"/>
      </w:pPr>
      <w:bookmarkStart w:id="4" w:name="_Ref70001827"/>
      <w:r w:rsidRPr="00CF7D4B">
        <w:t>R4-2106103</w:t>
      </w:r>
      <w:r>
        <w:t>, “</w:t>
      </w:r>
      <w:r w:rsidRPr="00CF7D4B">
        <w:t>WF on [307] NTN_Solutions_Part1</w:t>
      </w:r>
      <w:r>
        <w:t>,” Thales</w:t>
      </w:r>
      <w:bookmarkEnd w:id="4"/>
    </w:p>
    <w:p w14:paraId="67CAC659" w14:textId="77777777" w:rsidR="00E07F10" w:rsidRDefault="00E07F10" w:rsidP="00E07F10">
      <w:pPr>
        <w:pStyle w:val="EX"/>
      </w:pPr>
      <w:bookmarkStart w:id="5" w:name="_Ref71090107"/>
      <w:bookmarkStart w:id="6" w:name="_Ref70004380"/>
      <w:r w:rsidRPr="00617594">
        <w:t>ITU-R, "Radio regulations articles", edition of 2020</w:t>
      </w:r>
      <w:bookmarkEnd w:id="5"/>
    </w:p>
    <w:p w14:paraId="6928334C" w14:textId="77777777" w:rsidR="00E07F10" w:rsidRDefault="00E07F10" w:rsidP="00E07F10">
      <w:pPr>
        <w:pStyle w:val="EX"/>
      </w:pPr>
      <w:bookmarkStart w:id="7" w:name="_Ref71089916"/>
      <w:r w:rsidRPr="004A6343">
        <w:t>Title 47 of the Code of Federal Regulations (CFR)</w:t>
      </w:r>
      <w:r>
        <w:t>, FCC</w:t>
      </w:r>
      <w:bookmarkEnd w:id="6"/>
      <w:bookmarkEnd w:id="7"/>
    </w:p>
    <w:p w14:paraId="4644EB30" w14:textId="77777777" w:rsidR="00E07F10" w:rsidRPr="004D3578" w:rsidRDefault="00E07F10" w:rsidP="00E07F10">
      <w:pPr>
        <w:pStyle w:val="EX"/>
      </w:pPr>
      <w:bookmarkStart w:id="8" w:name="_Ref70004385"/>
      <w:r w:rsidRPr="004A6343">
        <w:t>ETSI EN 301 441</w:t>
      </w:r>
      <w:r>
        <w:t>, “Satellite Earth Stations and Systems (SES); Harmonised Standard for Mobile Earth Stations (MES), including handheld earth stations, for Satellite Personal Communications Networks (S-PCN) operating in the 1,6 GHz/2,4 GHz frequency band under the Mobile Satellite Service (MSS) covering the essential requirements of article 3.2 of the Directive 2014/53/EU,” ETSI</w:t>
      </w:r>
      <w:bookmarkEnd w:id="8"/>
    </w:p>
    <w:p w14:paraId="5CFF5E96" w14:textId="77777777" w:rsidR="00E07F10" w:rsidRPr="007634C4" w:rsidRDefault="00E07F10" w:rsidP="00E07F10"/>
    <w:p w14:paraId="50A5E647" w14:textId="77777777" w:rsidR="00960A15" w:rsidRDefault="00960A15"/>
    <w:sectPr w:rsidR="00960A15" w:rsidSect="00114E2C">
      <w:headerReference w:type="default" r:id="rId22"/>
      <w:footnotePr>
        <w:numRestart w:val="eachSect"/>
      </w:footnotePr>
      <w:pgSz w:w="11907" w:h="16840" w:code="9"/>
      <w:pgMar w:top="1416" w:right="1133" w:bottom="1133" w:left="1133" w:header="850" w:footer="340" w:gutter="0"/>
      <w:cols w:space="720"/>
      <w:formProt w:val="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5A1206" w14:textId="77777777" w:rsidR="00AB5C30" w:rsidRDefault="00AB5C30" w:rsidP="00E07F10">
      <w:pPr>
        <w:spacing w:after="0"/>
      </w:pPr>
      <w:r>
        <w:separator/>
      </w:r>
    </w:p>
  </w:endnote>
  <w:endnote w:type="continuationSeparator" w:id="0">
    <w:p w14:paraId="151E5889" w14:textId="77777777" w:rsidR="00AB5C30" w:rsidRDefault="00AB5C30" w:rsidP="00E07F1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w:altName w:val="﷽﷽﷽﷽﷽﷽﷽﷽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2A9809" w14:textId="77777777" w:rsidR="00AB5C30" w:rsidRDefault="00AB5C30" w:rsidP="00E07F10">
      <w:pPr>
        <w:spacing w:after="0"/>
      </w:pPr>
      <w:r>
        <w:separator/>
      </w:r>
    </w:p>
  </w:footnote>
  <w:footnote w:type="continuationSeparator" w:id="0">
    <w:p w14:paraId="34D31089" w14:textId="77777777" w:rsidR="00AB5C30" w:rsidRDefault="00AB5C30" w:rsidP="00E07F1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DD05CC" w14:textId="77777777" w:rsidR="007827C3" w:rsidRDefault="0003577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B344556" w14:textId="77777777" w:rsidR="007827C3" w:rsidRDefault="00AB5C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7"/>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F10"/>
    <w:rsid w:val="00035770"/>
    <w:rsid w:val="00057B4D"/>
    <w:rsid w:val="006C690B"/>
    <w:rsid w:val="007009B8"/>
    <w:rsid w:val="00790150"/>
    <w:rsid w:val="007B1251"/>
    <w:rsid w:val="00960A15"/>
    <w:rsid w:val="00AB5C30"/>
    <w:rsid w:val="00D11305"/>
    <w:rsid w:val="00E07F10"/>
    <w:rsid w:val="00EB6696"/>
    <w:rsid w:val="00F23BFE"/>
    <w:rsid w:val="00F26E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958F458"/>
  <w15:chartTrackingRefBased/>
  <w15:docId w15:val="{6F9B1D97-D276-2A4C-A50B-91235E472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E07F10"/>
    <w:pPr>
      <w:spacing w:after="180"/>
    </w:pPr>
    <w:rPr>
      <w:rFonts w:ascii="Times New Roman" w:eastAsia="Times New Roman" w:hAnsi="Times New Roman" w:cs="Times New Roman"/>
      <w:sz w:val="20"/>
      <w:szCs w:val="20"/>
      <w:lang w:val="en-GB"/>
    </w:rPr>
  </w:style>
  <w:style w:type="paragraph" w:styleId="Heading1">
    <w:name w:val="heading 1"/>
    <w:next w:val="Normal"/>
    <w:link w:val="Heading1Char"/>
    <w:qFormat/>
    <w:rsid w:val="00E07F10"/>
    <w:pPr>
      <w:keepNext/>
      <w:keepLines/>
      <w:pBdr>
        <w:top w:val="single" w:sz="12" w:space="3" w:color="auto"/>
      </w:pBdr>
      <w:spacing w:before="240" w:after="180"/>
      <w:ind w:left="1134" w:hanging="1134"/>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E07F10"/>
    <w:pPr>
      <w:pBdr>
        <w:top w:val="none" w:sz="0" w:space="0" w:color="auto"/>
      </w:pBdr>
      <w:spacing w:before="180"/>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07F10"/>
    <w:rPr>
      <w:rFonts w:ascii="Arial" w:eastAsia="Times New Roman" w:hAnsi="Arial" w:cs="Times New Roman"/>
      <w:sz w:val="36"/>
      <w:szCs w:val="20"/>
      <w:lang w:val="en-GB"/>
    </w:rPr>
  </w:style>
  <w:style w:type="character" w:customStyle="1" w:styleId="Heading2Char">
    <w:name w:val="Heading 2 Char"/>
    <w:basedOn w:val="DefaultParagraphFont"/>
    <w:link w:val="Heading2"/>
    <w:rsid w:val="00E07F10"/>
    <w:rPr>
      <w:rFonts w:ascii="Arial" w:eastAsia="Times New Roman" w:hAnsi="Arial" w:cs="Times New Roman"/>
      <w:sz w:val="32"/>
      <w:szCs w:val="20"/>
      <w:lang w:val="en-GB"/>
    </w:rPr>
  </w:style>
  <w:style w:type="paragraph" w:styleId="Header">
    <w:name w:val="header"/>
    <w:link w:val="HeaderChar"/>
    <w:rsid w:val="00E07F10"/>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E07F10"/>
    <w:rPr>
      <w:rFonts w:ascii="Arial" w:eastAsia="Times New Roman" w:hAnsi="Arial" w:cs="Times New Roman"/>
      <w:b/>
      <w:noProof/>
      <w:sz w:val="18"/>
      <w:szCs w:val="20"/>
      <w:lang w:val="en-GB" w:eastAsia="ja-JP"/>
    </w:rPr>
  </w:style>
  <w:style w:type="paragraph" w:styleId="Footer">
    <w:name w:val="footer"/>
    <w:basedOn w:val="Header"/>
    <w:link w:val="FooterChar"/>
    <w:rsid w:val="00E07F10"/>
    <w:pPr>
      <w:jc w:val="center"/>
    </w:pPr>
    <w:rPr>
      <w:i/>
    </w:rPr>
  </w:style>
  <w:style w:type="character" w:customStyle="1" w:styleId="FooterChar">
    <w:name w:val="Footer Char"/>
    <w:basedOn w:val="DefaultParagraphFont"/>
    <w:link w:val="Footer"/>
    <w:rsid w:val="00E07F10"/>
    <w:rPr>
      <w:rFonts w:ascii="Arial" w:eastAsia="Times New Roman" w:hAnsi="Arial" w:cs="Times New Roman"/>
      <w:b/>
      <w:i/>
      <w:noProof/>
      <w:sz w:val="18"/>
      <w:szCs w:val="20"/>
      <w:lang w:val="en-GB" w:eastAsia="ja-JP"/>
    </w:rPr>
  </w:style>
  <w:style w:type="paragraph" w:customStyle="1" w:styleId="EX">
    <w:name w:val="EX"/>
    <w:basedOn w:val="Normal"/>
    <w:rsid w:val="00E07F10"/>
    <w:pPr>
      <w:keepLines/>
      <w:numPr>
        <w:numId w:val="1"/>
      </w:numPr>
    </w:pPr>
  </w:style>
  <w:style w:type="paragraph" w:customStyle="1" w:styleId="B1">
    <w:name w:val="B1"/>
    <w:basedOn w:val="Normal"/>
    <w:rsid w:val="00E07F10"/>
    <w:pPr>
      <w:ind w:left="568" w:hanging="284"/>
    </w:pPr>
  </w:style>
  <w:style w:type="paragraph" w:customStyle="1" w:styleId="TF">
    <w:name w:val="TF"/>
    <w:basedOn w:val="Normal"/>
    <w:rsid w:val="00E07F10"/>
    <w:pPr>
      <w:keepLines/>
      <w:spacing w:after="240"/>
      <w:jc w:val="center"/>
    </w:pPr>
    <w:rPr>
      <w:rFonts w:ascii="Arial" w:hAnsi="Arial"/>
      <w:b/>
    </w:rPr>
  </w:style>
  <w:style w:type="paragraph" w:customStyle="1" w:styleId="B2">
    <w:name w:val="B2"/>
    <w:basedOn w:val="Normal"/>
    <w:rsid w:val="00E07F10"/>
    <w:pPr>
      <w:ind w:left="851" w:hanging="284"/>
    </w:pPr>
  </w:style>
  <w:style w:type="table" w:styleId="TableGrid">
    <w:name w:val="Table Grid"/>
    <w:basedOn w:val="TableNormal"/>
    <w:rsid w:val="00E07F10"/>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E07F10"/>
    <w:pPr>
      <w:tabs>
        <w:tab w:val="left" w:pos="2268"/>
        <w:tab w:val="right" w:pos="7920"/>
        <w:tab w:val="right" w:pos="9639"/>
      </w:tabs>
      <w:spacing w:after="0"/>
    </w:pPr>
    <w:rPr>
      <w:rFonts w:ascii="Arial" w:hAnsi="Arial" w:cs="Arial"/>
      <w:b/>
      <w:sz w:val="24"/>
    </w:rPr>
  </w:style>
  <w:style w:type="paragraph" w:customStyle="1" w:styleId="Observation">
    <w:name w:val="Observation"/>
    <w:basedOn w:val="Normal"/>
    <w:rsid w:val="00E07F10"/>
    <w:pPr>
      <w:tabs>
        <w:tab w:val="left" w:pos="1701"/>
      </w:tabs>
      <w:ind w:left="1701" w:hanging="1701"/>
    </w:pPr>
    <w:rPr>
      <w:i/>
    </w:rPr>
  </w:style>
  <w:style w:type="paragraph" w:customStyle="1" w:styleId="Proposal">
    <w:name w:val="Proposal"/>
    <w:basedOn w:val="Normal"/>
    <w:rsid w:val="00E07F10"/>
    <w:pPr>
      <w:tabs>
        <w:tab w:val="left" w:pos="1701"/>
      </w:tabs>
      <w:ind w:left="1701" w:hanging="1701"/>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6</Pages>
  <Words>2159</Words>
  <Characters>11210</Characters>
  <Application>Microsoft Office Word</Application>
  <DocSecurity>0</DocSecurity>
  <Lines>273</Lines>
  <Paragraphs>180</Paragraphs>
  <ScaleCrop>false</ScaleCrop>
  <Company/>
  <LinksUpToDate>false</LinksUpToDate>
  <CharactersWithSpaces>13189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Dooley</dc:creator>
  <cp:keywords/>
  <dc:description/>
  <cp:lastModifiedBy>John Dooley</cp:lastModifiedBy>
  <cp:revision>3</cp:revision>
  <dcterms:created xsi:type="dcterms:W3CDTF">2021-05-07T13:30:00Z</dcterms:created>
  <dcterms:modified xsi:type="dcterms:W3CDTF">2021-05-10T16:33:00Z</dcterms:modified>
</cp:coreProperties>
</file>